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F1512D">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55AD9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00990" w:rsidRDefault="0030099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00990" w:rsidRDefault="0030099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F1512D">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F1512D">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F1512D">
      <w:pPr>
        <w:tabs>
          <w:tab w:val="center" w:pos="5400"/>
        </w:tabs>
        <w:suppressAutoHyphens/>
        <w:rPr>
          <w:rFonts w:asciiTheme="majorHAnsi" w:hAnsiTheme="majorHAnsi"/>
          <w:sz w:val="22"/>
          <w:szCs w:val="22"/>
          <w:lang w:val="es-ES"/>
        </w:rPr>
      </w:pPr>
    </w:p>
    <w:p w14:paraId="12A36B24" w14:textId="77777777" w:rsidR="005128E4" w:rsidRPr="00006B74" w:rsidRDefault="005128E4" w:rsidP="00F1512D">
      <w:pPr>
        <w:tabs>
          <w:tab w:val="center" w:pos="5400"/>
        </w:tabs>
        <w:suppressAutoHyphens/>
        <w:rPr>
          <w:rFonts w:asciiTheme="majorHAnsi" w:hAnsiTheme="majorHAnsi"/>
          <w:sz w:val="22"/>
          <w:szCs w:val="22"/>
          <w:lang w:val="es-ES"/>
        </w:rPr>
      </w:pPr>
    </w:p>
    <w:p w14:paraId="2252093D" w14:textId="77777777" w:rsidR="005128E4" w:rsidRPr="00006B74" w:rsidRDefault="005128E4" w:rsidP="00F1512D">
      <w:pPr>
        <w:tabs>
          <w:tab w:val="center" w:pos="5400"/>
        </w:tabs>
        <w:suppressAutoHyphens/>
        <w:rPr>
          <w:rFonts w:asciiTheme="majorHAnsi" w:hAnsiTheme="majorHAnsi"/>
          <w:sz w:val="22"/>
          <w:szCs w:val="22"/>
          <w:lang w:val="es-ES"/>
        </w:rPr>
      </w:pPr>
    </w:p>
    <w:p w14:paraId="403935BD"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F1512D">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F1512D">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F1512D">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F1512D">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56C852" w:rsidR="00300990" w:rsidRPr="004E2649" w:rsidRDefault="0030099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177F4">
                              <w:rPr>
                                <w:rFonts w:asciiTheme="majorHAnsi" w:hAnsiTheme="majorHAnsi" w:cs="Arial"/>
                                <w:b/>
                                <w:bCs/>
                                <w:color w:val="0D0D0D" w:themeColor="text1" w:themeTint="F2"/>
                                <w:sz w:val="36"/>
                                <w:szCs w:val="22"/>
                                <w:lang w:val="es-ES_tradnl"/>
                              </w:rPr>
                              <w:t>56/21</w:t>
                            </w:r>
                          </w:p>
                          <w:p w14:paraId="09C54AB3" w14:textId="21A6E44C" w:rsidR="00300990" w:rsidRDefault="0030099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5AEE4C3E" w:rsidR="00300990" w:rsidRPr="0010736F" w:rsidRDefault="00300990" w:rsidP="00997BC5">
                            <w:pPr>
                              <w:spacing w:line="276" w:lineRule="auto"/>
                              <w:rPr>
                                <w:rFonts w:asciiTheme="majorHAnsi" w:hAnsiTheme="majorHAnsi" w:cs="Arial"/>
                                <w:color w:val="0D0D0D" w:themeColor="text1" w:themeTint="F2"/>
                                <w:szCs w:val="22"/>
                                <w:lang w:val="es-ES_tradnl"/>
                              </w:rPr>
                            </w:pPr>
                            <w:r w:rsidRPr="003457EF">
                              <w:rPr>
                                <w:rFonts w:asciiTheme="majorHAnsi" w:hAnsiTheme="majorHAnsi" w:cs="Arial"/>
                                <w:color w:val="0D0D0D" w:themeColor="text1" w:themeTint="F2"/>
                                <w:szCs w:val="22"/>
                                <w:lang w:val="es-ES_tradnl"/>
                              </w:rPr>
                              <w:t xml:space="preserve">INFORME DE ADMISIBILIDAD </w:t>
                            </w:r>
                          </w:p>
                          <w:p w14:paraId="5FDD6F0D" w14:textId="77777777" w:rsidR="00300990" w:rsidRPr="0010736F" w:rsidRDefault="00300990"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C526B29" w:rsidR="00300990" w:rsidRPr="0010736F" w:rsidRDefault="003009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FAVEROLA FUMERO</w:t>
                            </w:r>
                          </w:p>
                          <w:bookmarkEnd w:id="0"/>
                          <w:p w14:paraId="35068D0D" w14:textId="073197FE" w:rsidR="00300990" w:rsidRPr="0010736F" w:rsidRDefault="003009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300990" w:rsidRPr="00AE5488" w:rsidRDefault="0030099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756C852" w:rsidR="00300990" w:rsidRPr="004E2649" w:rsidRDefault="0030099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177F4">
                        <w:rPr>
                          <w:rFonts w:asciiTheme="majorHAnsi" w:hAnsiTheme="majorHAnsi" w:cs="Arial"/>
                          <w:b/>
                          <w:bCs/>
                          <w:color w:val="0D0D0D" w:themeColor="text1" w:themeTint="F2"/>
                          <w:sz w:val="36"/>
                          <w:szCs w:val="22"/>
                          <w:lang w:val="es-ES_tradnl"/>
                        </w:rPr>
                        <w:t>56/21</w:t>
                      </w:r>
                    </w:p>
                    <w:p w14:paraId="09C54AB3" w14:textId="21A6E44C" w:rsidR="00300990" w:rsidRDefault="0030099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5AEE4C3E" w:rsidR="00300990" w:rsidRPr="0010736F" w:rsidRDefault="00300990" w:rsidP="00997BC5">
                      <w:pPr>
                        <w:spacing w:line="276" w:lineRule="auto"/>
                        <w:rPr>
                          <w:rFonts w:asciiTheme="majorHAnsi" w:hAnsiTheme="majorHAnsi" w:cs="Arial"/>
                          <w:color w:val="0D0D0D" w:themeColor="text1" w:themeTint="F2"/>
                          <w:szCs w:val="22"/>
                          <w:lang w:val="es-ES_tradnl"/>
                        </w:rPr>
                      </w:pPr>
                      <w:r w:rsidRPr="003457EF">
                        <w:rPr>
                          <w:rFonts w:asciiTheme="majorHAnsi" w:hAnsiTheme="majorHAnsi" w:cs="Arial"/>
                          <w:color w:val="0D0D0D" w:themeColor="text1" w:themeTint="F2"/>
                          <w:szCs w:val="22"/>
                          <w:lang w:val="es-ES_tradnl"/>
                        </w:rPr>
                        <w:t xml:space="preserve">INFORME DE ADMISIBILIDAD </w:t>
                      </w:r>
                    </w:p>
                    <w:p w14:paraId="5FDD6F0D" w14:textId="77777777" w:rsidR="00300990" w:rsidRPr="0010736F" w:rsidRDefault="0030099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C526B29" w:rsidR="00300990" w:rsidRPr="0010736F" w:rsidRDefault="003009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FAVEROLA FUMERO</w:t>
                      </w:r>
                    </w:p>
                    <w:bookmarkEnd w:id="1"/>
                    <w:p w14:paraId="35068D0D" w14:textId="073197FE" w:rsidR="00300990" w:rsidRPr="0010736F" w:rsidRDefault="003009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300990" w:rsidRPr="00AE5488" w:rsidRDefault="0030099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844769" w:rsidR="00300990" w:rsidRPr="000177F4" w:rsidRDefault="000177F4" w:rsidP="007A5817">
                            <w:pPr>
                              <w:spacing w:line="276" w:lineRule="auto"/>
                              <w:jc w:val="right"/>
                              <w:rPr>
                                <w:rFonts w:asciiTheme="minorHAnsi" w:hAnsiTheme="minorHAnsi"/>
                                <w:color w:val="FFFFFF" w:themeColor="background1"/>
                                <w:sz w:val="22"/>
                                <w:lang w:val="es-419"/>
                              </w:rPr>
                            </w:pPr>
                            <w:r w:rsidRPr="000177F4">
                              <w:rPr>
                                <w:rFonts w:asciiTheme="minorHAnsi" w:hAnsiTheme="minorHAnsi"/>
                                <w:color w:val="FFFFFF" w:themeColor="background1"/>
                                <w:sz w:val="22"/>
                                <w:lang w:val="es-419"/>
                              </w:rPr>
                              <w:t>OEA/</w:t>
                            </w:r>
                            <w:proofErr w:type="spellStart"/>
                            <w:r w:rsidRPr="000177F4">
                              <w:rPr>
                                <w:rFonts w:asciiTheme="minorHAnsi" w:hAnsiTheme="minorHAnsi"/>
                                <w:color w:val="FFFFFF" w:themeColor="background1"/>
                                <w:sz w:val="22"/>
                                <w:lang w:val="es-419"/>
                              </w:rPr>
                              <w:t>Ser.L</w:t>
                            </w:r>
                            <w:proofErr w:type="spellEnd"/>
                            <w:r w:rsidRPr="000177F4">
                              <w:rPr>
                                <w:rFonts w:asciiTheme="minorHAnsi" w:hAnsiTheme="minorHAnsi"/>
                                <w:color w:val="FFFFFF" w:themeColor="background1"/>
                                <w:sz w:val="22"/>
                                <w:lang w:val="es-419"/>
                              </w:rPr>
                              <w:t>/V/II</w:t>
                            </w:r>
                          </w:p>
                          <w:p w14:paraId="6A41611B" w14:textId="7368ECC6" w:rsidR="00300990" w:rsidRPr="000177F4" w:rsidRDefault="000177F4" w:rsidP="007A5817">
                            <w:pPr>
                              <w:spacing w:line="276" w:lineRule="auto"/>
                              <w:jc w:val="right"/>
                              <w:rPr>
                                <w:rFonts w:asciiTheme="minorHAnsi" w:hAnsiTheme="minorHAnsi"/>
                                <w:color w:val="FFFFFF" w:themeColor="background1"/>
                                <w:sz w:val="22"/>
                                <w:lang w:val="es-419"/>
                              </w:rPr>
                            </w:pPr>
                            <w:r w:rsidRPr="000177F4">
                              <w:rPr>
                                <w:rFonts w:asciiTheme="minorHAnsi" w:hAnsiTheme="minorHAnsi"/>
                                <w:color w:val="FFFFFF" w:themeColor="background1"/>
                                <w:sz w:val="22"/>
                                <w:lang w:val="es-419"/>
                              </w:rPr>
                              <w:t>Doc. 60</w:t>
                            </w:r>
                          </w:p>
                          <w:p w14:paraId="69373ED2" w14:textId="1F56D7FC" w:rsidR="00300990" w:rsidRPr="001B4C00" w:rsidRDefault="000177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 marzo</w:t>
                            </w:r>
                            <w:r w:rsidR="00300990"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21</w:t>
                            </w:r>
                          </w:p>
                          <w:p w14:paraId="0771DB5B" w14:textId="77777777" w:rsidR="00300990" w:rsidRPr="001B4C00" w:rsidRDefault="00300990"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C844769" w:rsidR="00300990" w:rsidRPr="000177F4" w:rsidRDefault="000177F4" w:rsidP="007A5817">
                      <w:pPr>
                        <w:spacing w:line="276" w:lineRule="auto"/>
                        <w:jc w:val="right"/>
                        <w:rPr>
                          <w:rFonts w:asciiTheme="minorHAnsi" w:hAnsiTheme="minorHAnsi"/>
                          <w:color w:val="FFFFFF" w:themeColor="background1"/>
                          <w:sz w:val="22"/>
                          <w:lang w:val="es-419"/>
                        </w:rPr>
                      </w:pPr>
                      <w:r w:rsidRPr="000177F4">
                        <w:rPr>
                          <w:rFonts w:asciiTheme="minorHAnsi" w:hAnsiTheme="minorHAnsi"/>
                          <w:color w:val="FFFFFF" w:themeColor="background1"/>
                          <w:sz w:val="22"/>
                          <w:lang w:val="es-419"/>
                        </w:rPr>
                        <w:t>OEA/</w:t>
                      </w:r>
                      <w:proofErr w:type="spellStart"/>
                      <w:r w:rsidRPr="000177F4">
                        <w:rPr>
                          <w:rFonts w:asciiTheme="minorHAnsi" w:hAnsiTheme="minorHAnsi"/>
                          <w:color w:val="FFFFFF" w:themeColor="background1"/>
                          <w:sz w:val="22"/>
                          <w:lang w:val="es-419"/>
                        </w:rPr>
                        <w:t>Ser.L</w:t>
                      </w:r>
                      <w:proofErr w:type="spellEnd"/>
                      <w:r w:rsidRPr="000177F4">
                        <w:rPr>
                          <w:rFonts w:asciiTheme="minorHAnsi" w:hAnsiTheme="minorHAnsi"/>
                          <w:color w:val="FFFFFF" w:themeColor="background1"/>
                          <w:sz w:val="22"/>
                          <w:lang w:val="es-419"/>
                        </w:rPr>
                        <w:t>/V/II</w:t>
                      </w:r>
                    </w:p>
                    <w:p w14:paraId="6A41611B" w14:textId="7368ECC6" w:rsidR="00300990" w:rsidRPr="000177F4" w:rsidRDefault="000177F4" w:rsidP="007A5817">
                      <w:pPr>
                        <w:spacing w:line="276" w:lineRule="auto"/>
                        <w:jc w:val="right"/>
                        <w:rPr>
                          <w:rFonts w:asciiTheme="minorHAnsi" w:hAnsiTheme="minorHAnsi"/>
                          <w:color w:val="FFFFFF" w:themeColor="background1"/>
                          <w:sz w:val="22"/>
                          <w:lang w:val="es-419"/>
                        </w:rPr>
                      </w:pPr>
                      <w:r w:rsidRPr="000177F4">
                        <w:rPr>
                          <w:rFonts w:asciiTheme="minorHAnsi" w:hAnsiTheme="minorHAnsi"/>
                          <w:color w:val="FFFFFF" w:themeColor="background1"/>
                          <w:sz w:val="22"/>
                          <w:lang w:val="es-419"/>
                        </w:rPr>
                        <w:t>Doc. 60</w:t>
                      </w:r>
                    </w:p>
                    <w:p w14:paraId="69373ED2" w14:textId="1F56D7FC" w:rsidR="00300990" w:rsidRPr="001B4C00" w:rsidRDefault="000177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 marzo</w:t>
                      </w:r>
                      <w:r w:rsidR="00300990"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21</w:t>
                      </w:r>
                    </w:p>
                    <w:p w14:paraId="0771DB5B" w14:textId="77777777" w:rsidR="00300990" w:rsidRPr="001B4C00" w:rsidRDefault="00300990"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F1512D">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F1512D">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F1512D">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F1512D">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F1512D">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F1512D">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F1512D">
      <w:pPr>
        <w:tabs>
          <w:tab w:val="center" w:pos="5400"/>
        </w:tabs>
        <w:suppressAutoHyphens/>
        <w:jc w:val="center"/>
        <w:rPr>
          <w:rFonts w:asciiTheme="majorHAnsi" w:hAnsiTheme="majorHAnsi"/>
          <w:sz w:val="18"/>
          <w:szCs w:val="22"/>
          <w:lang w:val="es-ES"/>
        </w:rPr>
      </w:pPr>
      <w:bookmarkStart w:id="1" w:name="_GoBack"/>
      <w:bookmarkEnd w:id="1"/>
    </w:p>
    <w:p w14:paraId="190ABFB3"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F1512D">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9D404B9" w:rsidR="00300990" w:rsidRPr="00890650" w:rsidRDefault="0030099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177F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177F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177F4">
                              <w:rPr>
                                <w:rFonts w:asciiTheme="majorHAnsi" w:hAnsiTheme="majorHAnsi"/>
                                <w:color w:val="0D0D0D" w:themeColor="text1" w:themeTint="F2"/>
                                <w:sz w:val="18"/>
                                <w:szCs w:val="22"/>
                                <w:lang w:val="es-ES"/>
                              </w:rPr>
                              <w:t>1</w:t>
                            </w:r>
                            <w:r w:rsidR="00721932">
                              <w:rPr>
                                <w:rFonts w:asciiTheme="majorHAnsi" w:hAnsiTheme="majorHAnsi"/>
                                <w:color w:val="0D0D0D" w:themeColor="text1" w:themeTint="F2"/>
                                <w:sz w:val="18"/>
                                <w:szCs w:val="22"/>
                                <w:lang w:val="es-ES"/>
                              </w:rPr>
                              <w:t>.</w:t>
                            </w:r>
                          </w:p>
                          <w:p w14:paraId="4BDF3581" w14:textId="77777777" w:rsidR="00300990" w:rsidRPr="007A5817" w:rsidRDefault="0030099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00990" w:rsidRPr="00167A34" w:rsidRDefault="0030099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9D404B9" w:rsidR="00300990" w:rsidRPr="00890650" w:rsidRDefault="0030099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177F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177F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177F4">
                        <w:rPr>
                          <w:rFonts w:asciiTheme="majorHAnsi" w:hAnsiTheme="majorHAnsi"/>
                          <w:color w:val="0D0D0D" w:themeColor="text1" w:themeTint="F2"/>
                          <w:sz w:val="18"/>
                          <w:szCs w:val="22"/>
                          <w:lang w:val="es-ES"/>
                        </w:rPr>
                        <w:t>1</w:t>
                      </w:r>
                      <w:r w:rsidR="00721932">
                        <w:rPr>
                          <w:rFonts w:asciiTheme="majorHAnsi" w:hAnsiTheme="majorHAnsi"/>
                          <w:color w:val="0D0D0D" w:themeColor="text1" w:themeTint="F2"/>
                          <w:sz w:val="18"/>
                          <w:szCs w:val="22"/>
                          <w:lang w:val="es-ES"/>
                        </w:rPr>
                        <w:t>.</w:t>
                      </w:r>
                    </w:p>
                    <w:p w14:paraId="4BDF3581" w14:textId="77777777" w:rsidR="00300990" w:rsidRPr="007A5817" w:rsidRDefault="0030099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00990" w:rsidRPr="00167A34" w:rsidRDefault="0030099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F1512D">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5E490B7" w:rsidR="00300990" w:rsidRPr="007B05C4" w:rsidRDefault="0030099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77F4" w:rsidRPr="000177F4">
                              <w:rPr>
                                <w:rFonts w:asciiTheme="majorHAnsi" w:hAnsiTheme="majorHAnsi"/>
                                <w:color w:val="595959" w:themeColor="text1" w:themeTint="A6"/>
                                <w:sz w:val="18"/>
                                <w:szCs w:val="18"/>
                                <w:lang w:val="pt-BR"/>
                              </w:rPr>
                              <w:t>56</w:t>
                            </w:r>
                            <w:r w:rsidRPr="000177F4">
                              <w:rPr>
                                <w:rFonts w:asciiTheme="majorHAnsi" w:hAnsiTheme="majorHAnsi"/>
                                <w:color w:val="595959" w:themeColor="text1" w:themeTint="A6"/>
                                <w:sz w:val="18"/>
                                <w:szCs w:val="18"/>
                                <w:lang w:val="pt-BR"/>
                              </w:rPr>
                              <w:t>/</w:t>
                            </w:r>
                            <w:r w:rsidR="000177F4" w:rsidRPr="000177F4">
                              <w:rPr>
                                <w:rFonts w:asciiTheme="majorHAnsi" w:hAnsiTheme="majorHAnsi"/>
                                <w:color w:val="595959" w:themeColor="text1" w:themeTint="A6"/>
                                <w:sz w:val="18"/>
                                <w:szCs w:val="18"/>
                                <w:lang w:val="pt-BR"/>
                              </w:rPr>
                              <w:t>21</w:t>
                            </w:r>
                            <w:r w:rsidRPr="000177F4">
                              <w:rPr>
                                <w:rFonts w:asciiTheme="majorHAnsi" w:hAnsiTheme="majorHAnsi"/>
                                <w:color w:val="595959" w:themeColor="text1" w:themeTint="A6"/>
                                <w:sz w:val="18"/>
                                <w:szCs w:val="18"/>
                                <w:lang w:val="pt-BR"/>
                              </w:rPr>
                              <w:t xml:space="preserve">. </w:t>
                            </w:r>
                            <w:r w:rsidR="00721932">
                              <w:rPr>
                                <w:rFonts w:asciiTheme="majorHAnsi" w:hAnsiTheme="majorHAnsi"/>
                                <w:color w:val="595959" w:themeColor="text1" w:themeTint="A6"/>
                                <w:sz w:val="18"/>
                                <w:szCs w:val="18"/>
                                <w:lang w:val="pt-BR"/>
                              </w:rPr>
                              <w:t xml:space="preserve">Petición 1547-12. </w:t>
                            </w:r>
                            <w:r w:rsidRPr="00890650">
                              <w:rPr>
                                <w:rFonts w:asciiTheme="majorHAnsi" w:hAnsiTheme="majorHAnsi"/>
                                <w:color w:val="595959" w:themeColor="text1" w:themeTint="A6"/>
                                <w:sz w:val="18"/>
                                <w:szCs w:val="18"/>
                                <w:lang w:val="es-ES_tradnl"/>
                              </w:rPr>
                              <w:t xml:space="preserve">Admisibilidad. </w:t>
                            </w:r>
                            <w:r w:rsidR="000177F4">
                              <w:rPr>
                                <w:rFonts w:asciiTheme="majorHAnsi" w:hAnsiTheme="majorHAnsi"/>
                                <w:color w:val="595959" w:themeColor="text1" w:themeTint="A6"/>
                                <w:sz w:val="18"/>
                                <w:szCs w:val="18"/>
                                <w:lang w:val="es-ES_tradnl"/>
                              </w:rPr>
                              <w:t xml:space="preserve">Miguel </w:t>
                            </w:r>
                            <w:proofErr w:type="spellStart"/>
                            <w:r w:rsidR="000177F4">
                              <w:rPr>
                                <w:rFonts w:asciiTheme="majorHAnsi" w:hAnsiTheme="majorHAnsi"/>
                                <w:color w:val="595959" w:themeColor="text1" w:themeTint="A6"/>
                                <w:sz w:val="18"/>
                                <w:szCs w:val="18"/>
                                <w:lang w:val="es-ES_tradnl"/>
                              </w:rPr>
                              <w:t>Faverola</w:t>
                            </w:r>
                            <w:proofErr w:type="spellEnd"/>
                            <w:r w:rsidR="000177F4">
                              <w:rPr>
                                <w:rFonts w:asciiTheme="majorHAnsi" w:hAnsiTheme="majorHAnsi"/>
                                <w:color w:val="595959" w:themeColor="text1" w:themeTint="A6"/>
                                <w:sz w:val="18"/>
                                <w:szCs w:val="18"/>
                                <w:lang w:val="es-ES_tradnl"/>
                              </w:rPr>
                              <w:t xml:space="preserve"> </w:t>
                            </w:r>
                            <w:proofErr w:type="spellStart"/>
                            <w:r w:rsidR="000177F4">
                              <w:rPr>
                                <w:rFonts w:asciiTheme="majorHAnsi" w:hAnsiTheme="majorHAnsi"/>
                                <w:color w:val="595959" w:themeColor="text1" w:themeTint="A6"/>
                                <w:sz w:val="18"/>
                                <w:szCs w:val="18"/>
                                <w:lang w:val="es-ES_tradnl"/>
                              </w:rPr>
                              <w:t>Fumero</w:t>
                            </w:r>
                            <w:proofErr w:type="spellEnd"/>
                            <w:r w:rsidRPr="00890650">
                              <w:rPr>
                                <w:rFonts w:asciiTheme="majorHAnsi" w:hAnsiTheme="majorHAnsi"/>
                                <w:color w:val="595959" w:themeColor="text1" w:themeTint="A6"/>
                                <w:sz w:val="18"/>
                                <w:szCs w:val="18"/>
                                <w:lang w:val="es-ES_tradnl"/>
                              </w:rPr>
                              <w:t xml:space="preserve">. </w:t>
                            </w:r>
                            <w:r w:rsidR="000177F4">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0177F4">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5E490B7" w:rsidR="00300990" w:rsidRPr="007B05C4" w:rsidRDefault="0030099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77F4" w:rsidRPr="000177F4">
                        <w:rPr>
                          <w:rFonts w:asciiTheme="majorHAnsi" w:hAnsiTheme="majorHAnsi"/>
                          <w:color w:val="595959" w:themeColor="text1" w:themeTint="A6"/>
                          <w:sz w:val="18"/>
                          <w:szCs w:val="18"/>
                          <w:lang w:val="pt-BR"/>
                        </w:rPr>
                        <w:t>56</w:t>
                      </w:r>
                      <w:r w:rsidRPr="000177F4">
                        <w:rPr>
                          <w:rFonts w:asciiTheme="majorHAnsi" w:hAnsiTheme="majorHAnsi"/>
                          <w:color w:val="595959" w:themeColor="text1" w:themeTint="A6"/>
                          <w:sz w:val="18"/>
                          <w:szCs w:val="18"/>
                          <w:lang w:val="pt-BR"/>
                        </w:rPr>
                        <w:t>/</w:t>
                      </w:r>
                      <w:r w:rsidR="000177F4" w:rsidRPr="000177F4">
                        <w:rPr>
                          <w:rFonts w:asciiTheme="majorHAnsi" w:hAnsiTheme="majorHAnsi"/>
                          <w:color w:val="595959" w:themeColor="text1" w:themeTint="A6"/>
                          <w:sz w:val="18"/>
                          <w:szCs w:val="18"/>
                          <w:lang w:val="pt-BR"/>
                        </w:rPr>
                        <w:t>21</w:t>
                      </w:r>
                      <w:r w:rsidRPr="000177F4">
                        <w:rPr>
                          <w:rFonts w:asciiTheme="majorHAnsi" w:hAnsiTheme="majorHAnsi"/>
                          <w:color w:val="595959" w:themeColor="text1" w:themeTint="A6"/>
                          <w:sz w:val="18"/>
                          <w:szCs w:val="18"/>
                          <w:lang w:val="pt-BR"/>
                        </w:rPr>
                        <w:t xml:space="preserve">. </w:t>
                      </w:r>
                      <w:r w:rsidR="00721932">
                        <w:rPr>
                          <w:rFonts w:asciiTheme="majorHAnsi" w:hAnsiTheme="majorHAnsi"/>
                          <w:color w:val="595959" w:themeColor="text1" w:themeTint="A6"/>
                          <w:sz w:val="18"/>
                          <w:szCs w:val="18"/>
                          <w:lang w:val="pt-BR"/>
                        </w:rPr>
                        <w:t xml:space="preserve">Petición 1547-12. </w:t>
                      </w:r>
                      <w:r w:rsidRPr="00890650">
                        <w:rPr>
                          <w:rFonts w:asciiTheme="majorHAnsi" w:hAnsiTheme="majorHAnsi"/>
                          <w:color w:val="595959" w:themeColor="text1" w:themeTint="A6"/>
                          <w:sz w:val="18"/>
                          <w:szCs w:val="18"/>
                          <w:lang w:val="es-ES_tradnl"/>
                        </w:rPr>
                        <w:t xml:space="preserve">Admisibilidad. </w:t>
                      </w:r>
                      <w:r w:rsidR="000177F4">
                        <w:rPr>
                          <w:rFonts w:asciiTheme="majorHAnsi" w:hAnsiTheme="majorHAnsi"/>
                          <w:color w:val="595959" w:themeColor="text1" w:themeTint="A6"/>
                          <w:sz w:val="18"/>
                          <w:szCs w:val="18"/>
                          <w:lang w:val="es-ES_tradnl"/>
                        </w:rPr>
                        <w:t xml:space="preserve">Miguel </w:t>
                      </w:r>
                      <w:proofErr w:type="spellStart"/>
                      <w:r w:rsidR="000177F4">
                        <w:rPr>
                          <w:rFonts w:asciiTheme="majorHAnsi" w:hAnsiTheme="majorHAnsi"/>
                          <w:color w:val="595959" w:themeColor="text1" w:themeTint="A6"/>
                          <w:sz w:val="18"/>
                          <w:szCs w:val="18"/>
                          <w:lang w:val="es-ES_tradnl"/>
                        </w:rPr>
                        <w:t>Faverola</w:t>
                      </w:r>
                      <w:proofErr w:type="spellEnd"/>
                      <w:r w:rsidR="000177F4">
                        <w:rPr>
                          <w:rFonts w:asciiTheme="majorHAnsi" w:hAnsiTheme="majorHAnsi"/>
                          <w:color w:val="595959" w:themeColor="text1" w:themeTint="A6"/>
                          <w:sz w:val="18"/>
                          <w:szCs w:val="18"/>
                          <w:lang w:val="es-ES_tradnl"/>
                        </w:rPr>
                        <w:t xml:space="preserve"> </w:t>
                      </w:r>
                      <w:proofErr w:type="spellStart"/>
                      <w:r w:rsidR="000177F4">
                        <w:rPr>
                          <w:rFonts w:asciiTheme="majorHAnsi" w:hAnsiTheme="majorHAnsi"/>
                          <w:color w:val="595959" w:themeColor="text1" w:themeTint="A6"/>
                          <w:sz w:val="18"/>
                          <w:szCs w:val="18"/>
                          <w:lang w:val="es-ES_tradnl"/>
                        </w:rPr>
                        <w:t>Fumero</w:t>
                      </w:r>
                      <w:proofErr w:type="spellEnd"/>
                      <w:r w:rsidRPr="00890650">
                        <w:rPr>
                          <w:rFonts w:asciiTheme="majorHAnsi" w:hAnsiTheme="majorHAnsi"/>
                          <w:color w:val="595959" w:themeColor="text1" w:themeTint="A6"/>
                          <w:sz w:val="18"/>
                          <w:szCs w:val="18"/>
                          <w:lang w:val="es-ES_tradnl"/>
                        </w:rPr>
                        <w:t xml:space="preserve">. </w:t>
                      </w:r>
                      <w:r w:rsidR="000177F4">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0177F4">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F1512D">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F1512D">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00990" w:rsidRPr="00D72DC6" w:rsidRDefault="0030099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D540811">
                                  <wp:extent cx="1761393" cy="45311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74570" cy="4565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00990" w:rsidRPr="00D72DC6" w:rsidRDefault="0030099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D540811">
                            <wp:extent cx="1761393" cy="45311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74570" cy="456508"/>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00990" w:rsidRPr="004B7EB6" w:rsidRDefault="0030099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00990" w:rsidRPr="004B7EB6" w:rsidRDefault="0030099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F1512D">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21932">
      <w:pPr>
        <w:spacing w:before="240"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F1512D">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C1864CB" w:rsidR="003239B8" w:rsidRPr="00006B74" w:rsidRDefault="006B4DE5" w:rsidP="00F1512D">
            <w:pPr>
              <w:jc w:val="both"/>
              <w:rPr>
                <w:rFonts w:ascii="Cambria" w:hAnsi="Cambria"/>
                <w:bCs/>
                <w:sz w:val="19"/>
                <w:szCs w:val="19"/>
                <w:lang w:val="es-ES"/>
              </w:rPr>
            </w:pPr>
            <w:r>
              <w:rPr>
                <w:rFonts w:ascii="Cambria" w:hAnsi="Cambria"/>
                <w:bCs/>
                <w:sz w:val="19"/>
                <w:szCs w:val="19"/>
                <w:lang w:val="es-ES"/>
              </w:rPr>
              <w:t>Oswaldo Domínguez Florido</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F1512D">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EE971AA" w:rsidR="003239B8" w:rsidRPr="00006B74" w:rsidRDefault="006B4DE5" w:rsidP="00F1512D">
            <w:pPr>
              <w:jc w:val="both"/>
              <w:rPr>
                <w:rFonts w:ascii="Cambria" w:hAnsi="Cambria"/>
                <w:bCs/>
                <w:sz w:val="19"/>
                <w:szCs w:val="19"/>
                <w:lang w:val="es-ES"/>
              </w:rPr>
            </w:pPr>
            <w:r>
              <w:rPr>
                <w:rFonts w:ascii="Cambria" w:hAnsi="Cambria"/>
                <w:bCs/>
                <w:sz w:val="19"/>
                <w:szCs w:val="19"/>
                <w:lang w:val="es-ES"/>
              </w:rPr>
              <w:t>Miguel Faverola Fumero</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F1512D">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EEB709F" w:rsidR="003239B8" w:rsidRPr="00006B74" w:rsidRDefault="006B1D57" w:rsidP="00F1512D">
            <w:pPr>
              <w:jc w:val="both"/>
              <w:rPr>
                <w:rFonts w:ascii="Cambria" w:hAnsi="Cambria"/>
                <w:bCs/>
                <w:sz w:val="19"/>
                <w:szCs w:val="19"/>
                <w:lang w:val="es-ES"/>
              </w:rPr>
            </w:pPr>
            <w:r>
              <w:rPr>
                <w:rFonts w:ascii="Cambria" w:hAnsi="Cambria"/>
                <w:bCs/>
                <w:sz w:val="19"/>
                <w:szCs w:val="19"/>
                <w:lang w:val="es-ES"/>
              </w:rPr>
              <w:t>Venezuela</w:t>
            </w:r>
          </w:p>
        </w:tc>
      </w:tr>
      <w:tr w:rsidR="00223A29" w:rsidRPr="006B4DE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F1512D">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187E0ACA" w:rsidR="00223A29" w:rsidRPr="00006B74" w:rsidRDefault="00BF514A" w:rsidP="00F1512D">
            <w:pPr>
              <w:jc w:val="both"/>
              <w:rPr>
                <w:rFonts w:ascii="Cambria" w:hAnsi="Cambria"/>
                <w:bCs/>
                <w:sz w:val="19"/>
                <w:szCs w:val="19"/>
                <w:lang w:val="es-ES"/>
              </w:rPr>
            </w:pPr>
            <w:r w:rsidRPr="0043324F">
              <w:rPr>
                <w:rFonts w:ascii="Cambria" w:hAnsi="Cambria"/>
                <w:bCs/>
                <w:sz w:val="19"/>
                <w:szCs w:val="19"/>
                <w:lang w:val="es-ES"/>
              </w:rPr>
              <w:t xml:space="preserve">Artículos </w:t>
            </w:r>
            <w:r w:rsidR="006B1D57" w:rsidRPr="0043324F">
              <w:rPr>
                <w:rFonts w:ascii="Cambria" w:hAnsi="Cambria"/>
                <w:bCs/>
                <w:sz w:val="19"/>
                <w:szCs w:val="19"/>
                <w:lang w:val="es-ES"/>
              </w:rPr>
              <w:t>7 (libertad personal) y 8 (</w:t>
            </w:r>
            <w:r w:rsidR="0043324F" w:rsidRPr="0043324F">
              <w:rPr>
                <w:rFonts w:ascii="Cambria" w:hAnsi="Cambria"/>
                <w:bCs/>
                <w:sz w:val="19"/>
                <w:szCs w:val="19"/>
                <w:lang w:val="es-ES"/>
              </w:rPr>
              <w:t xml:space="preserve">garantías judiciales) </w:t>
            </w:r>
            <w:r w:rsidRPr="0043324F">
              <w:rPr>
                <w:rFonts w:ascii="Cambria" w:hAnsi="Cambria"/>
                <w:bCs/>
                <w:sz w:val="19"/>
                <w:szCs w:val="19"/>
                <w:lang w:val="es-ES"/>
              </w:rPr>
              <w:t>de la Convención Americana sobre Derechos Humanos</w:t>
            </w:r>
            <w:r w:rsidRPr="0043324F">
              <w:rPr>
                <w:rStyle w:val="FootnoteReference"/>
                <w:rFonts w:ascii="Cambria" w:hAnsi="Cambria"/>
                <w:bCs/>
                <w:sz w:val="19"/>
                <w:szCs w:val="19"/>
                <w:lang w:val="es-ES"/>
              </w:rPr>
              <w:footnoteReference w:id="2"/>
            </w:r>
            <w:r w:rsidR="0043324F" w:rsidRPr="0043324F">
              <w:rPr>
                <w:rFonts w:ascii="Cambria" w:hAnsi="Cambria"/>
                <w:bCs/>
                <w:sz w:val="19"/>
                <w:szCs w:val="19"/>
                <w:lang w:val="es-ES"/>
              </w:rPr>
              <w:t xml:space="preserve"> en relación con su artículo 1.1. (obligación de respetar a los derechos)</w:t>
            </w:r>
          </w:p>
        </w:tc>
      </w:tr>
    </w:tbl>
    <w:p w14:paraId="20263696" w14:textId="77777777" w:rsidR="003239B8" w:rsidRPr="00006B74" w:rsidRDefault="003239B8" w:rsidP="00721932">
      <w:pPr>
        <w:spacing w:before="240"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43324F"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F1512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FFB9795" w:rsidR="004C2312" w:rsidRPr="0047080D" w:rsidRDefault="009400BF" w:rsidP="00F1512D">
            <w:pPr>
              <w:jc w:val="both"/>
              <w:rPr>
                <w:rFonts w:ascii="Cambria" w:hAnsi="Cambria"/>
                <w:bCs/>
                <w:sz w:val="19"/>
                <w:szCs w:val="19"/>
                <w:lang w:val="es-ES"/>
              </w:rPr>
            </w:pPr>
            <w:r>
              <w:rPr>
                <w:rFonts w:ascii="Cambria" w:hAnsi="Cambria"/>
                <w:bCs/>
                <w:sz w:val="19"/>
                <w:szCs w:val="19"/>
                <w:lang w:val="es-ES"/>
              </w:rPr>
              <w:t>27 de agosto de 2012</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F1512D">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B491A29" w:rsidR="004C2312" w:rsidRPr="0047080D" w:rsidRDefault="009400BF" w:rsidP="00F1512D">
            <w:pPr>
              <w:jc w:val="both"/>
              <w:rPr>
                <w:rFonts w:ascii="Cambria" w:hAnsi="Cambria"/>
                <w:bCs/>
                <w:sz w:val="19"/>
                <w:szCs w:val="19"/>
                <w:lang w:val="es-ES"/>
              </w:rPr>
            </w:pPr>
            <w:r>
              <w:rPr>
                <w:rFonts w:ascii="Cambria" w:hAnsi="Cambria"/>
                <w:bCs/>
                <w:sz w:val="19"/>
                <w:szCs w:val="19"/>
                <w:lang w:val="es-ES"/>
              </w:rPr>
              <w:t>9 de agosto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1512D">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C5DE799" w:rsidR="00F06354" w:rsidRPr="0047080D" w:rsidRDefault="009400BF" w:rsidP="00F1512D">
            <w:pPr>
              <w:jc w:val="both"/>
              <w:rPr>
                <w:rFonts w:ascii="Cambria" w:hAnsi="Cambria"/>
                <w:bCs/>
                <w:sz w:val="19"/>
                <w:szCs w:val="19"/>
                <w:lang w:val="es-ES"/>
              </w:rPr>
            </w:pPr>
            <w:r>
              <w:rPr>
                <w:rFonts w:ascii="Cambria" w:hAnsi="Cambria"/>
                <w:bCs/>
                <w:sz w:val="19"/>
                <w:szCs w:val="19"/>
                <w:lang w:val="es-ES"/>
              </w:rPr>
              <w:t>14 de diciembre de 2018</w:t>
            </w:r>
          </w:p>
        </w:tc>
      </w:tr>
    </w:tbl>
    <w:p w14:paraId="21DAA666" w14:textId="5065046E" w:rsidR="003239B8" w:rsidRPr="00006B74" w:rsidRDefault="003239B8" w:rsidP="00721932">
      <w:pPr>
        <w:spacing w:before="240"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F1512D">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419B81A2" w:rsidR="003239B8" w:rsidRPr="0047080D" w:rsidRDefault="006B4DE5" w:rsidP="00F1512D">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F1512D">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683B5D91" w:rsidR="003239B8" w:rsidRPr="0047080D" w:rsidRDefault="006B4DE5" w:rsidP="00F1512D">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F1512D">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58E470BA" w:rsidR="003239B8" w:rsidRPr="0047080D" w:rsidRDefault="006B4DE5" w:rsidP="00F1512D">
            <w:pPr>
              <w:rPr>
                <w:rFonts w:ascii="Cambria" w:hAnsi="Cambria"/>
                <w:bCs/>
                <w:sz w:val="19"/>
                <w:szCs w:val="19"/>
                <w:lang w:val="es-ES"/>
              </w:rPr>
            </w:pPr>
            <w:r>
              <w:rPr>
                <w:rFonts w:ascii="Cambria" w:hAnsi="Cambria"/>
                <w:bCs/>
                <w:sz w:val="19"/>
                <w:szCs w:val="19"/>
                <w:lang w:val="es-ES"/>
              </w:rPr>
              <w:t>Sí</w:t>
            </w:r>
          </w:p>
        </w:tc>
      </w:tr>
      <w:tr w:rsidR="003239B8" w:rsidRPr="0072193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F1512D">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33420FA9" w:rsidR="003239B8" w:rsidRPr="0047080D" w:rsidRDefault="006B4DE5" w:rsidP="00F1512D">
            <w:pPr>
              <w:jc w:val="both"/>
              <w:rPr>
                <w:rFonts w:ascii="Cambria" w:hAnsi="Cambria"/>
                <w:bCs/>
                <w:sz w:val="19"/>
                <w:szCs w:val="19"/>
                <w:lang w:val="es-ES"/>
              </w:rPr>
            </w:pPr>
            <w:r w:rsidRPr="00AA3DDA">
              <w:rPr>
                <w:rFonts w:ascii="Cambria" w:hAnsi="Cambria"/>
                <w:bCs/>
                <w:sz w:val="19"/>
                <w:szCs w:val="19"/>
                <w:lang w:val="es-ES"/>
              </w:rPr>
              <w:t xml:space="preserve">Sí, </w:t>
            </w:r>
            <w:r w:rsidRPr="007F30D9">
              <w:rPr>
                <w:rFonts w:ascii="Cambria" w:hAnsi="Cambria"/>
                <w:bCs/>
                <w:sz w:val="19"/>
                <w:szCs w:val="19"/>
                <w:lang w:val="es-ES"/>
              </w:rPr>
              <w:t>Convención Americana</w:t>
            </w:r>
            <w:r w:rsidRPr="007F30D9">
              <w:rPr>
                <w:rFonts w:ascii="Cambria" w:hAnsi="Cambria"/>
                <w:sz w:val="19"/>
                <w:szCs w:val="19"/>
                <w:lang w:val="es-ES"/>
              </w:rPr>
              <w:t xml:space="preserve">, </w:t>
            </w:r>
            <w:r w:rsidRPr="007F30D9">
              <w:rPr>
                <w:rFonts w:asciiTheme="majorHAnsi" w:hAnsiTheme="majorHAnsi"/>
                <w:bCs/>
                <w:sz w:val="19"/>
                <w:szCs w:val="19"/>
                <w:lang w:val="es-ES"/>
              </w:rPr>
              <w:t xml:space="preserve">(instrumento adoptado en el </w:t>
            </w:r>
            <w:r>
              <w:rPr>
                <w:rFonts w:asciiTheme="majorHAnsi" w:hAnsiTheme="majorHAnsi"/>
                <w:bCs/>
                <w:sz w:val="19"/>
                <w:szCs w:val="19"/>
                <w:lang w:val="es-ES"/>
              </w:rPr>
              <w:t>9 de agosto de 1977</w:t>
            </w:r>
            <w:r w:rsidRPr="007F30D9">
              <w:rPr>
                <w:rFonts w:asciiTheme="majorHAnsi" w:hAnsiTheme="majorHAnsi"/>
                <w:bCs/>
                <w:sz w:val="19"/>
                <w:szCs w:val="19"/>
                <w:lang w:val="es-ES"/>
              </w:rPr>
              <w:t>)</w:t>
            </w:r>
          </w:p>
        </w:tc>
      </w:tr>
    </w:tbl>
    <w:p w14:paraId="4E92C444" w14:textId="3DDA64B7" w:rsidR="003239B8" w:rsidRPr="00006B74" w:rsidRDefault="003239B8" w:rsidP="00721932">
      <w:pPr>
        <w:spacing w:before="240"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6B4DE5"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F1512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E7E7B55" w:rsidR="00EE00E9" w:rsidRPr="0047080D" w:rsidRDefault="006B1D57" w:rsidP="00F1512D">
            <w:pPr>
              <w:jc w:val="both"/>
              <w:rPr>
                <w:rFonts w:ascii="Cambria" w:hAnsi="Cambria"/>
                <w:bCs/>
                <w:sz w:val="19"/>
                <w:szCs w:val="19"/>
                <w:lang w:val="es-ES"/>
              </w:rPr>
            </w:pPr>
            <w:r>
              <w:rPr>
                <w:rFonts w:ascii="Cambria" w:hAnsi="Cambria"/>
                <w:bCs/>
                <w:sz w:val="19"/>
                <w:szCs w:val="19"/>
                <w:lang w:val="es-ES"/>
              </w:rPr>
              <w:t>No</w:t>
            </w:r>
          </w:p>
        </w:tc>
      </w:tr>
      <w:tr w:rsidR="003239B8" w:rsidRPr="009400BF"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F1512D">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233BC593" w:rsidR="003239B8" w:rsidRPr="0047080D" w:rsidRDefault="009400BF" w:rsidP="00F1512D">
            <w:pPr>
              <w:jc w:val="both"/>
              <w:rPr>
                <w:rFonts w:ascii="Cambria" w:hAnsi="Cambria"/>
                <w:bCs/>
                <w:sz w:val="19"/>
                <w:szCs w:val="19"/>
                <w:lang w:val="es-ES"/>
              </w:rPr>
            </w:pPr>
            <w:r>
              <w:rPr>
                <w:rFonts w:ascii="Cambria" w:hAnsi="Cambria"/>
                <w:bCs/>
                <w:sz w:val="19"/>
                <w:szCs w:val="19"/>
                <w:lang w:val="es-ES"/>
              </w:rPr>
              <w:t xml:space="preserve">Artículo </w:t>
            </w:r>
            <w:r w:rsidRPr="0043324F">
              <w:rPr>
                <w:rFonts w:ascii="Cambria" w:hAnsi="Cambria"/>
                <w:bCs/>
                <w:sz w:val="19"/>
                <w:szCs w:val="19"/>
                <w:lang w:val="es-ES"/>
              </w:rPr>
              <w:t>8 (garantías judiciales) de la Convención Americana</w:t>
            </w:r>
            <w:r w:rsidRPr="009400BF">
              <w:rPr>
                <w:lang w:val="es-419"/>
              </w:rPr>
              <w:t xml:space="preserve"> </w:t>
            </w:r>
            <w:r w:rsidRPr="0043324F">
              <w:rPr>
                <w:rFonts w:ascii="Cambria" w:hAnsi="Cambria"/>
                <w:bCs/>
                <w:sz w:val="19"/>
                <w:szCs w:val="19"/>
                <w:lang w:val="es-ES"/>
              </w:rPr>
              <w:t>en relación con su artículo 1.1. (obligación de respetar a los derechos)</w:t>
            </w:r>
          </w:p>
        </w:tc>
      </w:tr>
      <w:tr w:rsidR="003239B8" w:rsidRPr="0072193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F1512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4B0739A5" w:rsidR="003239B8" w:rsidRPr="0047080D" w:rsidRDefault="009400BF" w:rsidP="00F1512D">
            <w:pPr>
              <w:rPr>
                <w:rFonts w:ascii="Cambria" w:hAnsi="Cambria"/>
                <w:bCs/>
                <w:sz w:val="19"/>
                <w:szCs w:val="19"/>
                <w:lang w:val="es-ES"/>
              </w:rPr>
            </w:pPr>
            <w:r>
              <w:rPr>
                <w:rFonts w:ascii="Cambria" w:hAnsi="Cambria"/>
                <w:bCs/>
                <w:sz w:val="19"/>
                <w:szCs w:val="19"/>
                <w:lang w:val="es-ES"/>
              </w:rPr>
              <w:t>Sí, en los términos de la sección VI</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F1512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0BE26093" w:rsidR="003239B8" w:rsidRPr="0047080D" w:rsidRDefault="009400BF" w:rsidP="00F1512D">
            <w:pPr>
              <w:rPr>
                <w:rFonts w:ascii="Cambria" w:hAnsi="Cambria"/>
                <w:bCs/>
                <w:sz w:val="19"/>
                <w:szCs w:val="19"/>
                <w:lang w:val="es-ES"/>
              </w:rPr>
            </w:pPr>
            <w:r>
              <w:rPr>
                <w:rFonts w:ascii="Cambria" w:hAnsi="Cambria"/>
                <w:bCs/>
                <w:sz w:val="19"/>
                <w:szCs w:val="19"/>
                <w:lang w:val="es-ES"/>
              </w:rPr>
              <w:t>Sí</w:t>
            </w:r>
          </w:p>
        </w:tc>
      </w:tr>
    </w:tbl>
    <w:p w14:paraId="02B92559" w14:textId="77777777" w:rsidR="00F1512D" w:rsidRDefault="00F1512D" w:rsidP="00F1512D">
      <w:pPr>
        <w:ind w:firstLine="720"/>
        <w:jc w:val="both"/>
        <w:rPr>
          <w:rFonts w:asciiTheme="majorHAnsi" w:hAnsiTheme="majorHAnsi"/>
          <w:b/>
          <w:sz w:val="20"/>
          <w:szCs w:val="20"/>
          <w:lang w:val="es-ES"/>
        </w:rPr>
      </w:pPr>
    </w:p>
    <w:p w14:paraId="18E6423B" w14:textId="17E336C7" w:rsidR="003239B8" w:rsidRPr="00006B74" w:rsidRDefault="00223A29" w:rsidP="00F1512D">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D1ED49E"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95B282C" w14:textId="13C1CE95" w:rsidR="00316E97" w:rsidRPr="00C01D3B" w:rsidRDefault="00316E97"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01D3B">
        <w:rPr>
          <w:rFonts w:ascii="Cambria" w:hAnsi="Cambria"/>
          <w:sz w:val="20"/>
          <w:szCs w:val="20"/>
          <w:lang w:val="es-ES"/>
        </w:rPr>
        <w:t xml:space="preserve">La parte peticionaria afirma que </w:t>
      </w:r>
      <w:r w:rsidR="00FE0614" w:rsidRPr="00C01D3B">
        <w:rPr>
          <w:rFonts w:ascii="Cambria" w:hAnsi="Cambria"/>
          <w:sz w:val="20"/>
          <w:szCs w:val="20"/>
          <w:lang w:val="es-ES"/>
        </w:rPr>
        <w:t xml:space="preserve">el </w:t>
      </w:r>
      <w:r w:rsidR="00FE0614" w:rsidRPr="00790AAC">
        <w:rPr>
          <w:rFonts w:ascii="Cambria" w:hAnsi="Cambria"/>
          <w:sz w:val="20"/>
          <w:szCs w:val="20"/>
          <w:lang w:val="es-ES"/>
        </w:rPr>
        <w:t>Estado de Venezuela violó los derechos de</w:t>
      </w:r>
      <w:r w:rsidRPr="00790AAC">
        <w:rPr>
          <w:rFonts w:ascii="Cambria" w:hAnsi="Cambria"/>
          <w:sz w:val="20"/>
          <w:szCs w:val="20"/>
          <w:lang w:val="es-ES"/>
        </w:rPr>
        <w:t xml:space="preserve"> </w:t>
      </w:r>
      <w:r w:rsidRPr="00790AAC">
        <w:rPr>
          <w:rFonts w:ascii="Cambria" w:hAnsi="Cambria"/>
          <w:bCs/>
          <w:sz w:val="20"/>
          <w:szCs w:val="20"/>
          <w:lang w:val="es-ES"/>
        </w:rPr>
        <w:t>Miguel Faverola Fumero</w:t>
      </w:r>
      <w:r w:rsidRPr="00790AAC">
        <w:rPr>
          <w:rFonts w:ascii="Cambria" w:hAnsi="Cambria"/>
          <w:sz w:val="20"/>
          <w:szCs w:val="20"/>
          <w:lang w:val="es-ES"/>
        </w:rPr>
        <w:t xml:space="preserve"> (en adelante “la presunta víctima”) </w:t>
      </w:r>
      <w:r w:rsidR="009507C6">
        <w:rPr>
          <w:rFonts w:ascii="Cambria" w:hAnsi="Cambria"/>
          <w:sz w:val="20"/>
          <w:szCs w:val="20"/>
          <w:lang w:val="es-ES"/>
        </w:rPr>
        <w:t xml:space="preserve">al no permitir que </w:t>
      </w:r>
      <w:r w:rsidR="00472E8C" w:rsidRPr="00EC3263">
        <w:rPr>
          <w:rFonts w:ascii="Cambria" w:hAnsi="Cambria"/>
          <w:sz w:val="20"/>
          <w:szCs w:val="20"/>
          <w:lang w:val="es-ES"/>
        </w:rPr>
        <w:t>su abogado</w:t>
      </w:r>
      <w:r w:rsidR="009507C6">
        <w:rPr>
          <w:rFonts w:ascii="Cambria" w:hAnsi="Cambria"/>
          <w:sz w:val="20"/>
          <w:szCs w:val="20"/>
          <w:lang w:val="es-ES"/>
        </w:rPr>
        <w:t xml:space="preserve"> </w:t>
      </w:r>
      <w:r w:rsidR="009507C6" w:rsidRPr="00EC3263">
        <w:rPr>
          <w:rFonts w:ascii="Cambria" w:hAnsi="Cambria"/>
          <w:bCs/>
          <w:sz w:val="20"/>
          <w:szCs w:val="20"/>
          <w:lang w:val="es-ES"/>
        </w:rPr>
        <w:t>Oswaldo Domínguez Florido</w:t>
      </w:r>
      <w:r w:rsidR="00472E8C">
        <w:rPr>
          <w:rFonts w:ascii="Cambria" w:hAnsi="Cambria"/>
          <w:bCs/>
          <w:sz w:val="20"/>
          <w:szCs w:val="20"/>
          <w:lang w:val="es-ES"/>
        </w:rPr>
        <w:t xml:space="preserve"> (en adelante “</w:t>
      </w:r>
      <w:r w:rsidR="00472E8C">
        <w:rPr>
          <w:rFonts w:ascii="Cambria" w:hAnsi="Cambria"/>
          <w:sz w:val="20"/>
          <w:szCs w:val="20"/>
          <w:lang w:val="es-ES"/>
        </w:rPr>
        <w:t>el peticionario”</w:t>
      </w:r>
      <w:r w:rsidR="00472E8C">
        <w:rPr>
          <w:rFonts w:ascii="Cambria" w:hAnsi="Cambria"/>
          <w:bCs/>
          <w:sz w:val="20"/>
          <w:szCs w:val="20"/>
          <w:lang w:val="es-ES"/>
        </w:rPr>
        <w:t>)</w:t>
      </w:r>
      <w:r w:rsidR="009507C6">
        <w:rPr>
          <w:rFonts w:ascii="Cambria" w:hAnsi="Cambria"/>
          <w:bCs/>
          <w:sz w:val="20"/>
          <w:szCs w:val="20"/>
          <w:lang w:val="es-ES"/>
        </w:rPr>
        <w:t>,</w:t>
      </w:r>
      <w:r w:rsidR="009507C6" w:rsidRPr="00EC3263">
        <w:rPr>
          <w:rFonts w:ascii="Cambria" w:hAnsi="Cambria"/>
          <w:sz w:val="20"/>
          <w:szCs w:val="20"/>
          <w:lang w:val="es-ES"/>
        </w:rPr>
        <w:t xml:space="preserve"> </w:t>
      </w:r>
      <w:r w:rsidR="00472E8C">
        <w:rPr>
          <w:rFonts w:ascii="Cambria" w:hAnsi="Cambria"/>
          <w:sz w:val="20"/>
          <w:szCs w:val="20"/>
          <w:lang w:val="es-ES"/>
        </w:rPr>
        <w:t>fuera</w:t>
      </w:r>
      <w:r w:rsidR="009507C6" w:rsidRPr="00EC3263">
        <w:rPr>
          <w:rFonts w:ascii="Cambria" w:hAnsi="Cambria"/>
          <w:sz w:val="20"/>
          <w:szCs w:val="20"/>
          <w:lang w:val="es-ES"/>
        </w:rPr>
        <w:t xml:space="preserve"> juramenta</w:t>
      </w:r>
      <w:r w:rsidR="00A7381D">
        <w:rPr>
          <w:rFonts w:ascii="Cambria" w:hAnsi="Cambria"/>
          <w:sz w:val="20"/>
          <w:szCs w:val="20"/>
          <w:lang w:val="es-ES"/>
        </w:rPr>
        <w:t>do</w:t>
      </w:r>
      <w:r w:rsidR="009507C6" w:rsidRPr="00EC3263">
        <w:rPr>
          <w:rFonts w:ascii="Cambria" w:hAnsi="Cambria"/>
          <w:sz w:val="20"/>
          <w:szCs w:val="20"/>
          <w:lang w:val="es-ES"/>
        </w:rPr>
        <w:t xml:space="preserve"> </w:t>
      </w:r>
      <w:r w:rsidR="009507C6">
        <w:rPr>
          <w:rFonts w:ascii="Cambria" w:hAnsi="Cambria"/>
          <w:sz w:val="20"/>
          <w:szCs w:val="20"/>
          <w:lang w:val="es-ES"/>
        </w:rPr>
        <w:t xml:space="preserve">para representarlo en ausencia en un proceso penal en su contra en el que se </w:t>
      </w:r>
      <w:r w:rsidR="00C01D3B" w:rsidRPr="00790AAC">
        <w:rPr>
          <w:rFonts w:ascii="Cambria" w:hAnsi="Cambria"/>
          <w:sz w:val="20"/>
          <w:szCs w:val="20"/>
          <w:lang w:val="es-ES"/>
        </w:rPr>
        <w:t>dictó un</w:t>
      </w:r>
      <w:r w:rsidR="003457EF">
        <w:rPr>
          <w:rFonts w:ascii="Cambria" w:hAnsi="Cambria"/>
          <w:sz w:val="20"/>
          <w:szCs w:val="20"/>
          <w:lang w:val="es-ES"/>
        </w:rPr>
        <w:t>a</w:t>
      </w:r>
      <w:r w:rsidR="00C01D3B" w:rsidRPr="00790AAC">
        <w:rPr>
          <w:rFonts w:ascii="Cambria" w:hAnsi="Cambria"/>
          <w:sz w:val="20"/>
          <w:szCs w:val="20"/>
          <w:lang w:val="es-ES"/>
        </w:rPr>
        <w:t xml:space="preserve"> orden de privación de su </w:t>
      </w:r>
      <w:r w:rsidR="00FE0614" w:rsidRPr="00790AAC">
        <w:rPr>
          <w:rFonts w:ascii="Cambria" w:hAnsi="Cambria"/>
          <w:sz w:val="20"/>
          <w:szCs w:val="20"/>
          <w:lang w:val="es-ES"/>
        </w:rPr>
        <w:t>libertad sin</w:t>
      </w:r>
      <w:r w:rsidR="00C01D3B" w:rsidRPr="00790AAC">
        <w:rPr>
          <w:rFonts w:ascii="Cambria" w:hAnsi="Cambria"/>
          <w:sz w:val="20"/>
          <w:szCs w:val="20"/>
          <w:lang w:val="es-ES"/>
        </w:rPr>
        <w:t xml:space="preserve"> observar</w:t>
      </w:r>
      <w:r w:rsidRPr="00790AAC">
        <w:rPr>
          <w:rFonts w:ascii="Cambria" w:hAnsi="Cambria"/>
          <w:sz w:val="20"/>
          <w:szCs w:val="20"/>
          <w:lang w:val="es-ES"/>
        </w:rPr>
        <w:t xml:space="preserve"> las garantías judiciales</w:t>
      </w:r>
      <w:r w:rsidR="00C01D3B" w:rsidRPr="00790AAC">
        <w:rPr>
          <w:rFonts w:ascii="Cambria" w:hAnsi="Cambria"/>
          <w:sz w:val="20"/>
          <w:szCs w:val="20"/>
          <w:lang w:val="es-ES"/>
        </w:rPr>
        <w:t>.</w:t>
      </w:r>
      <w:r w:rsidRPr="00C01D3B">
        <w:rPr>
          <w:rFonts w:ascii="Cambria" w:hAnsi="Cambria"/>
          <w:sz w:val="20"/>
          <w:szCs w:val="20"/>
          <w:lang w:val="es-ES"/>
        </w:rPr>
        <w:t xml:space="preserve"> </w:t>
      </w:r>
    </w:p>
    <w:p w14:paraId="1994971B"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E16B6D4" w14:textId="7F7DD656" w:rsidR="007F4EF5" w:rsidRDefault="00E82214"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Indica que</w:t>
      </w:r>
      <w:r w:rsidR="006D626A" w:rsidRPr="00C01D3B">
        <w:rPr>
          <w:rFonts w:ascii="Cambria" w:hAnsi="Cambria"/>
          <w:sz w:val="20"/>
          <w:szCs w:val="20"/>
          <w:lang w:val="es-ES"/>
        </w:rPr>
        <w:t xml:space="preserve"> </w:t>
      </w:r>
      <w:r w:rsidRPr="00C01D3B">
        <w:rPr>
          <w:rFonts w:ascii="Cambria" w:hAnsi="Cambria"/>
          <w:sz w:val="20"/>
          <w:szCs w:val="20"/>
          <w:lang w:val="es-ES"/>
        </w:rPr>
        <w:t>la presunta víctima</w:t>
      </w:r>
      <w:r w:rsidRPr="00316E97">
        <w:rPr>
          <w:rFonts w:ascii="Cambria" w:hAnsi="Cambria"/>
          <w:sz w:val="20"/>
          <w:szCs w:val="20"/>
          <w:lang w:val="es-ES"/>
        </w:rPr>
        <w:t xml:space="preserve"> </w:t>
      </w:r>
      <w:r>
        <w:rPr>
          <w:rFonts w:ascii="Cambria" w:hAnsi="Cambria"/>
          <w:sz w:val="20"/>
          <w:szCs w:val="20"/>
          <w:lang w:val="es-ES"/>
        </w:rPr>
        <w:t xml:space="preserve">era </w:t>
      </w:r>
      <w:r w:rsidRPr="00316E97">
        <w:rPr>
          <w:rFonts w:ascii="Cambria" w:hAnsi="Cambria"/>
          <w:sz w:val="20"/>
          <w:szCs w:val="20"/>
          <w:lang w:val="es-ES"/>
        </w:rPr>
        <w:t>Vicepresidente de Tesorerías</w:t>
      </w:r>
      <w:r>
        <w:rPr>
          <w:rFonts w:ascii="Cambria" w:hAnsi="Cambria"/>
          <w:sz w:val="20"/>
          <w:szCs w:val="20"/>
          <w:lang w:val="es-ES"/>
        </w:rPr>
        <w:t xml:space="preserve"> </w:t>
      </w:r>
      <w:r w:rsidRPr="00316E97">
        <w:rPr>
          <w:rFonts w:ascii="Cambria" w:hAnsi="Cambria"/>
          <w:sz w:val="20"/>
          <w:szCs w:val="20"/>
          <w:lang w:val="es-ES"/>
        </w:rPr>
        <w:t xml:space="preserve">de </w:t>
      </w:r>
      <w:r w:rsidR="003457EF">
        <w:rPr>
          <w:rFonts w:ascii="Cambria" w:hAnsi="Cambria"/>
          <w:sz w:val="20"/>
          <w:szCs w:val="20"/>
          <w:lang w:val="es-ES"/>
        </w:rPr>
        <w:t xml:space="preserve">las </w:t>
      </w:r>
      <w:r w:rsidR="00081EEE">
        <w:rPr>
          <w:rFonts w:ascii="Cambria" w:hAnsi="Cambria"/>
          <w:sz w:val="20"/>
          <w:szCs w:val="20"/>
          <w:lang w:val="es-ES"/>
        </w:rPr>
        <w:t>i</w:t>
      </w:r>
      <w:r w:rsidR="00081EEE" w:rsidRPr="00316E97">
        <w:rPr>
          <w:rFonts w:ascii="Cambria" w:hAnsi="Cambria"/>
          <w:sz w:val="20"/>
          <w:szCs w:val="20"/>
          <w:lang w:val="es-ES"/>
        </w:rPr>
        <w:t>nstituci</w:t>
      </w:r>
      <w:r w:rsidR="003457EF">
        <w:rPr>
          <w:rFonts w:ascii="Cambria" w:hAnsi="Cambria"/>
          <w:sz w:val="20"/>
          <w:szCs w:val="20"/>
          <w:lang w:val="es-ES"/>
        </w:rPr>
        <w:t>ones</w:t>
      </w:r>
      <w:r w:rsidR="00081EEE" w:rsidRPr="00316E97">
        <w:rPr>
          <w:rFonts w:ascii="Cambria" w:hAnsi="Cambria"/>
          <w:sz w:val="20"/>
          <w:szCs w:val="20"/>
          <w:lang w:val="es-ES"/>
        </w:rPr>
        <w:t xml:space="preserve"> </w:t>
      </w:r>
      <w:r w:rsidR="00081EEE">
        <w:rPr>
          <w:rFonts w:ascii="Cambria" w:hAnsi="Cambria"/>
          <w:sz w:val="20"/>
          <w:szCs w:val="20"/>
          <w:lang w:val="es-ES"/>
        </w:rPr>
        <w:t>f</w:t>
      </w:r>
      <w:r w:rsidR="00081EEE" w:rsidRPr="00316E97">
        <w:rPr>
          <w:rFonts w:ascii="Cambria" w:hAnsi="Cambria"/>
          <w:sz w:val="20"/>
          <w:szCs w:val="20"/>
          <w:lang w:val="es-ES"/>
        </w:rPr>
        <w:t>inanciera</w:t>
      </w:r>
      <w:r w:rsidR="003457EF">
        <w:rPr>
          <w:rFonts w:ascii="Cambria" w:hAnsi="Cambria"/>
          <w:sz w:val="20"/>
          <w:szCs w:val="20"/>
          <w:lang w:val="es-ES"/>
        </w:rPr>
        <w:t>s</w:t>
      </w:r>
      <w:r w:rsidR="00081EEE" w:rsidRPr="00316E97">
        <w:rPr>
          <w:rFonts w:ascii="Cambria" w:hAnsi="Cambria"/>
          <w:sz w:val="20"/>
          <w:szCs w:val="20"/>
          <w:lang w:val="es-ES"/>
        </w:rPr>
        <w:t xml:space="preserve"> Banco del Sol</w:t>
      </w:r>
      <w:r w:rsidR="00081EEE">
        <w:rPr>
          <w:rFonts w:ascii="Cambria" w:hAnsi="Cambria"/>
          <w:sz w:val="20"/>
          <w:szCs w:val="20"/>
          <w:lang w:val="es-ES"/>
        </w:rPr>
        <w:t>,</w:t>
      </w:r>
      <w:r w:rsidR="00081EEE" w:rsidRPr="00316E97">
        <w:rPr>
          <w:rFonts w:ascii="Cambria" w:hAnsi="Cambria"/>
          <w:sz w:val="20"/>
          <w:szCs w:val="20"/>
          <w:lang w:val="es-ES"/>
        </w:rPr>
        <w:t xml:space="preserve"> Banco de Desarrollo C.A</w:t>
      </w:r>
      <w:r w:rsidR="00081EEE">
        <w:rPr>
          <w:rFonts w:ascii="Cambria" w:hAnsi="Cambria"/>
          <w:sz w:val="20"/>
          <w:szCs w:val="20"/>
          <w:lang w:val="es-ES"/>
        </w:rPr>
        <w:t>.</w:t>
      </w:r>
      <w:r w:rsidR="00081EEE" w:rsidRPr="00316E97">
        <w:rPr>
          <w:rFonts w:ascii="Cambria" w:hAnsi="Cambria"/>
          <w:sz w:val="20"/>
          <w:szCs w:val="20"/>
          <w:lang w:val="es-ES"/>
        </w:rPr>
        <w:t xml:space="preserve"> (en adelante “Banco del Sol”)</w:t>
      </w:r>
      <w:r>
        <w:rPr>
          <w:rFonts w:ascii="Cambria" w:hAnsi="Cambria"/>
          <w:sz w:val="20"/>
          <w:szCs w:val="20"/>
          <w:lang w:val="es-ES"/>
        </w:rPr>
        <w:t>, que fue intervenido</w:t>
      </w:r>
      <w:r w:rsidR="00081EEE">
        <w:rPr>
          <w:rFonts w:ascii="Cambria" w:hAnsi="Cambria"/>
          <w:sz w:val="20"/>
          <w:szCs w:val="20"/>
          <w:lang w:val="es-ES"/>
        </w:rPr>
        <w:t xml:space="preserve"> </w:t>
      </w:r>
      <w:r>
        <w:rPr>
          <w:rFonts w:ascii="Cambria" w:hAnsi="Cambria"/>
          <w:sz w:val="20"/>
          <w:szCs w:val="20"/>
          <w:lang w:val="es-ES"/>
        </w:rPr>
        <w:t xml:space="preserve">el </w:t>
      </w:r>
      <w:r w:rsidRPr="00316E97">
        <w:rPr>
          <w:rFonts w:ascii="Cambria" w:hAnsi="Cambria"/>
          <w:sz w:val="20"/>
          <w:szCs w:val="20"/>
          <w:lang w:val="es-ES"/>
        </w:rPr>
        <w:t>18 de enero de 2010</w:t>
      </w:r>
      <w:r>
        <w:rPr>
          <w:rFonts w:ascii="Cambria" w:hAnsi="Cambria"/>
          <w:sz w:val="20"/>
          <w:szCs w:val="20"/>
          <w:lang w:val="es-ES"/>
        </w:rPr>
        <w:t xml:space="preserve"> la </w:t>
      </w:r>
      <w:r w:rsidRPr="00316E97">
        <w:rPr>
          <w:rFonts w:ascii="Cambria" w:hAnsi="Cambria"/>
          <w:sz w:val="20"/>
          <w:szCs w:val="20"/>
          <w:lang w:val="es-ES"/>
        </w:rPr>
        <w:t xml:space="preserve">Superintendencia de Bancos </w:t>
      </w:r>
      <w:r>
        <w:rPr>
          <w:rFonts w:ascii="Cambria" w:hAnsi="Cambria"/>
          <w:sz w:val="20"/>
          <w:szCs w:val="20"/>
          <w:lang w:val="es-ES"/>
        </w:rPr>
        <w:t xml:space="preserve">de </w:t>
      </w:r>
      <w:r w:rsidRPr="00316E97">
        <w:rPr>
          <w:rFonts w:ascii="Cambria" w:hAnsi="Cambria"/>
          <w:sz w:val="20"/>
          <w:szCs w:val="20"/>
          <w:lang w:val="es-ES"/>
        </w:rPr>
        <w:t>Venez</w:t>
      </w:r>
      <w:r>
        <w:rPr>
          <w:rFonts w:ascii="Cambria" w:hAnsi="Cambria"/>
          <w:sz w:val="20"/>
          <w:szCs w:val="20"/>
          <w:lang w:val="es-ES"/>
        </w:rPr>
        <w:t>uela;</w:t>
      </w:r>
      <w:r w:rsidR="006D626A">
        <w:rPr>
          <w:rFonts w:ascii="Cambria" w:hAnsi="Cambria"/>
          <w:sz w:val="20"/>
          <w:szCs w:val="20"/>
          <w:lang w:val="es-ES"/>
        </w:rPr>
        <w:t xml:space="preserve"> </w:t>
      </w:r>
      <w:r w:rsidR="00081EEE">
        <w:rPr>
          <w:rFonts w:ascii="Cambria" w:hAnsi="Cambria"/>
          <w:sz w:val="20"/>
          <w:szCs w:val="20"/>
          <w:lang w:val="es-ES"/>
        </w:rPr>
        <w:t xml:space="preserve">y que </w:t>
      </w:r>
      <w:r>
        <w:rPr>
          <w:rFonts w:ascii="Cambria" w:hAnsi="Cambria"/>
          <w:sz w:val="20"/>
          <w:szCs w:val="20"/>
          <w:lang w:val="es-ES"/>
        </w:rPr>
        <w:t xml:space="preserve">como consecuencia la presunta víctima fue </w:t>
      </w:r>
      <w:r w:rsidR="00081EEE">
        <w:rPr>
          <w:rFonts w:ascii="Cambria" w:hAnsi="Cambria"/>
          <w:sz w:val="20"/>
          <w:szCs w:val="20"/>
          <w:lang w:val="es-ES"/>
        </w:rPr>
        <w:t>someti</w:t>
      </w:r>
      <w:r>
        <w:rPr>
          <w:rFonts w:ascii="Cambria" w:hAnsi="Cambria"/>
          <w:sz w:val="20"/>
          <w:szCs w:val="20"/>
          <w:lang w:val="es-ES"/>
        </w:rPr>
        <w:t>da</w:t>
      </w:r>
      <w:r w:rsidR="006D626A">
        <w:rPr>
          <w:rFonts w:ascii="Cambria" w:hAnsi="Cambria"/>
          <w:sz w:val="20"/>
          <w:szCs w:val="20"/>
          <w:lang w:val="es-ES"/>
        </w:rPr>
        <w:t xml:space="preserve"> </w:t>
      </w:r>
      <w:r w:rsidR="005F0222" w:rsidRPr="00316E97">
        <w:rPr>
          <w:rFonts w:ascii="Cambria" w:hAnsi="Cambria"/>
          <w:sz w:val="20"/>
          <w:szCs w:val="20"/>
          <w:lang w:val="es-ES"/>
        </w:rPr>
        <w:t>a una investigación penal</w:t>
      </w:r>
      <w:r w:rsidR="00833A9B">
        <w:rPr>
          <w:rFonts w:ascii="Cambria" w:hAnsi="Cambria"/>
          <w:sz w:val="20"/>
          <w:szCs w:val="20"/>
          <w:lang w:val="es-ES"/>
        </w:rPr>
        <w:t xml:space="preserve"> por los delitos de asociación para delinquir y aprovechamiento fraudulento de fondos públicos</w:t>
      </w:r>
      <w:r w:rsidR="00122C57">
        <w:rPr>
          <w:rFonts w:ascii="Cambria" w:hAnsi="Cambria"/>
          <w:sz w:val="20"/>
          <w:szCs w:val="20"/>
          <w:lang w:val="es-ES"/>
        </w:rPr>
        <w:t>.</w:t>
      </w:r>
      <w:r w:rsidR="005F0222" w:rsidRPr="00316E97">
        <w:rPr>
          <w:rFonts w:ascii="Cambria" w:hAnsi="Cambria"/>
          <w:sz w:val="20"/>
          <w:szCs w:val="20"/>
          <w:lang w:val="es-ES"/>
        </w:rPr>
        <w:t xml:space="preserve"> </w:t>
      </w:r>
      <w:r w:rsidR="006D626A">
        <w:rPr>
          <w:rFonts w:ascii="Cambria" w:hAnsi="Cambria"/>
          <w:sz w:val="20"/>
          <w:szCs w:val="20"/>
          <w:lang w:val="es-ES"/>
        </w:rPr>
        <w:t xml:space="preserve"> Aduce que </w:t>
      </w:r>
      <w:r w:rsidR="00A04BDF">
        <w:rPr>
          <w:rFonts w:ascii="Cambria" w:hAnsi="Cambria"/>
          <w:sz w:val="20"/>
          <w:szCs w:val="20"/>
          <w:lang w:val="es-ES"/>
        </w:rPr>
        <w:t>el 14 de mayo de 2010</w:t>
      </w:r>
      <w:r w:rsidR="006D626A">
        <w:rPr>
          <w:rFonts w:ascii="Cambria" w:hAnsi="Cambria"/>
          <w:sz w:val="20"/>
          <w:szCs w:val="20"/>
          <w:lang w:val="es-ES"/>
        </w:rPr>
        <w:t xml:space="preserve"> se dictó </w:t>
      </w:r>
      <w:r w:rsidR="005F0222" w:rsidRPr="00316E97">
        <w:rPr>
          <w:rFonts w:ascii="Cambria" w:hAnsi="Cambria"/>
          <w:sz w:val="20"/>
          <w:szCs w:val="20"/>
          <w:lang w:val="es-ES"/>
        </w:rPr>
        <w:t>una medida cautelar privativa de libertad</w:t>
      </w:r>
      <w:r w:rsidR="00E26FB5" w:rsidRPr="00316E97">
        <w:rPr>
          <w:rFonts w:ascii="Cambria" w:hAnsi="Cambria"/>
          <w:sz w:val="20"/>
          <w:szCs w:val="20"/>
          <w:lang w:val="es-ES"/>
        </w:rPr>
        <w:t xml:space="preserve"> </w:t>
      </w:r>
      <w:r w:rsidR="005F0222" w:rsidRPr="00316E97">
        <w:rPr>
          <w:rFonts w:ascii="Cambria" w:hAnsi="Cambria"/>
          <w:sz w:val="20"/>
          <w:szCs w:val="20"/>
          <w:lang w:val="es-ES"/>
        </w:rPr>
        <w:t>y una orden de captura con alerta roja de la Interpol</w:t>
      </w:r>
      <w:r w:rsidR="00A04BDF">
        <w:rPr>
          <w:rFonts w:ascii="Cambria" w:hAnsi="Cambria"/>
          <w:sz w:val="20"/>
          <w:szCs w:val="20"/>
          <w:lang w:val="es-ES"/>
        </w:rPr>
        <w:t xml:space="preserve"> en su contra</w:t>
      </w:r>
      <w:r w:rsidR="005F0222" w:rsidRPr="00316E97">
        <w:rPr>
          <w:rFonts w:ascii="Cambria" w:hAnsi="Cambria"/>
          <w:sz w:val="20"/>
          <w:szCs w:val="20"/>
          <w:lang w:val="es-ES"/>
        </w:rPr>
        <w:t xml:space="preserve">, sin que </w:t>
      </w:r>
      <w:r>
        <w:rPr>
          <w:rFonts w:ascii="Cambria" w:hAnsi="Cambria"/>
          <w:sz w:val="20"/>
          <w:szCs w:val="20"/>
          <w:lang w:val="es-ES"/>
        </w:rPr>
        <w:t>fuera citado ni</w:t>
      </w:r>
      <w:r w:rsidR="005F0222" w:rsidRPr="00316E97">
        <w:rPr>
          <w:rFonts w:ascii="Cambria" w:hAnsi="Cambria"/>
          <w:sz w:val="20"/>
          <w:szCs w:val="20"/>
          <w:lang w:val="es-ES"/>
        </w:rPr>
        <w:t xml:space="preserve"> oído</w:t>
      </w:r>
      <w:r>
        <w:rPr>
          <w:rFonts w:ascii="Cambria" w:hAnsi="Cambria"/>
          <w:sz w:val="20"/>
          <w:szCs w:val="20"/>
          <w:lang w:val="es-ES"/>
        </w:rPr>
        <w:t>,</w:t>
      </w:r>
      <w:r w:rsidR="005F0222" w:rsidRPr="00316E97">
        <w:rPr>
          <w:rFonts w:ascii="Cambria" w:hAnsi="Cambria"/>
          <w:sz w:val="20"/>
          <w:szCs w:val="20"/>
          <w:lang w:val="es-ES"/>
        </w:rPr>
        <w:t xml:space="preserve"> y sin permitir a su defensor el acceso al expediente. </w:t>
      </w:r>
    </w:p>
    <w:p w14:paraId="223CC16F"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6310EBB" w14:textId="45E2A0B9" w:rsidR="00DE12F0" w:rsidRPr="00316E97" w:rsidRDefault="00A04BDF"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 peticionario a</w:t>
      </w:r>
      <w:r w:rsidR="00AD2561" w:rsidRPr="00316E97">
        <w:rPr>
          <w:rFonts w:ascii="Cambria" w:hAnsi="Cambria"/>
          <w:sz w:val="20"/>
          <w:szCs w:val="20"/>
          <w:lang w:val="es-ES"/>
        </w:rPr>
        <w:t>lega que el 23 de noviembre de 2011</w:t>
      </w:r>
      <w:r>
        <w:rPr>
          <w:rFonts w:ascii="Cambria" w:hAnsi="Cambria"/>
          <w:sz w:val="20"/>
          <w:szCs w:val="20"/>
          <w:lang w:val="es-ES"/>
        </w:rPr>
        <w:t xml:space="preserve"> </w:t>
      </w:r>
      <w:r w:rsidR="005D7133">
        <w:rPr>
          <w:rFonts w:ascii="Cambria" w:hAnsi="Cambria"/>
          <w:sz w:val="20"/>
          <w:szCs w:val="20"/>
          <w:lang w:val="es-ES"/>
        </w:rPr>
        <w:t xml:space="preserve">presentó un escrito </w:t>
      </w:r>
      <w:r w:rsidR="00AD2561" w:rsidRPr="00316E97">
        <w:rPr>
          <w:rFonts w:ascii="Cambria" w:hAnsi="Cambria"/>
          <w:sz w:val="20"/>
          <w:szCs w:val="20"/>
          <w:lang w:val="es-ES"/>
        </w:rPr>
        <w:t xml:space="preserve">al Tribunal de Control con la finalidad de </w:t>
      </w:r>
      <w:r w:rsidR="005D7133">
        <w:rPr>
          <w:rFonts w:ascii="Cambria" w:hAnsi="Cambria"/>
          <w:sz w:val="20"/>
          <w:szCs w:val="20"/>
          <w:lang w:val="es-ES"/>
        </w:rPr>
        <w:t>que se le permit</w:t>
      </w:r>
      <w:r w:rsidR="007F4EF5">
        <w:rPr>
          <w:rFonts w:ascii="Cambria" w:hAnsi="Cambria"/>
          <w:sz w:val="20"/>
          <w:szCs w:val="20"/>
          <w:lang w:val="es-ES"/>
        </w:rPr>
        <w:t>ier</w:t>
      </w:r>
      <w:r w:rsidR="005D7133">
        <w:rPr>
          <w:rFonts w:ascii="Cambria" w:hAnsi="Cambria"/>
          <w:sz w:val="20"/>
          <w:szCs w:val="20"/>
          <w:lang w:val="es-ES"/>
        </w:rPr>
        <w:t xml:space="preserve">a </w:t>
      </w:r>
      <w:r w:rsidR="00AD2561" w:rsidRPr="00316E97">
        <w:rPr>
          <w:rFonts w:ascii="Cambria" w:hAnsi="Cambria"/>
          <w:sz w:val="20"/>
          <w:szCs w:val="20"/>
          <w:lang w:val="es-ES"/>
        </w:rPr>
        <w:t>designarse</w:t>
      </w:r>
      <w:r w:rsidR="005D7133">
        <w:rPr>
          <w:rFonts w:ascii="Cambria" w:hAnsi="Cambria"/>
          <w:sz w:val="20"/>
          <w:szCs w:val="20"/>
          <w:lang w:val="es-ES"/>
        </w:rPr>
        <w:t xml:space="preserve"> como </w:t>
      </w:r>
      <w:r w:rsidR="00AD2561" w:rsidRPr="00316E97">
        <w:rPr>
          <w:rFonts w:ascii="Cambria" w:hAnsi="Cambria"/>
          <w:sz w:val="20"/>
          <w:szCs w:val="20"/>
          <w:lang w:val="es-ES"/>
        </w:rPr>
        <w:t>abogado de la presunta víctima</w:t>
      </w:r>
      <w:r w:rsidR="00E82214">
        <w:rPr>
          <w:rFonts w:ascii="Cambria" w:hAnsi="Cambria"/>
          <w:sz w:val="20"/>
          <w:szCs w:val="20"/>
          <w:lang w:val="es-ES"/>
        </w:rPr>
        <w:t>. Sin embargo</w:t>
      </w:r>
      <w:r w:rsidR="00594D0C" w:rsidRPr="00316E97">
        <w:rPr>
          <w:rFonts w:ascii="Cambria" w:hAnsi="Cambria"/>
          <w:sz w:val="20"/>
          <w:szCs w:val="20"/>
          <w:lang w:val="es-ES"/>
        </w:rPr>
        <w:t>,</w:t>
      </w:r>
      <w:r w:rsidR="005D7133">
        <w:rPr>
          <w:rFonts w:ascii="Cambria" w:hAnsi="Cambria"/>
          <w:sz w:val="20"/>
          <w:szCs w:val="20"/>
          <w:lang w:val="es-ES"/>
        </w:rPr>
        <w:t xml:space="preserve"> </w:t>
      </w:r>
      <w:r w:rsidR="007F4EF5">
        <w:rPr>
          <w:rFonts w:ascii="Cambria" w:hAnsi="Cambria"/>
          <w:sz w:val="20"/>
          <w:szCs w:val="20"/>
          <w:lang w:val="es-ES"/>
        </w:rPr>
        <w:lastRenderedPageBreak/>
        <w:t xml:space="preserve">el pedido </w:t>
      </w:r>
      <w:r w:rsidR="005D7133">
        <w:rPr>
          <w:rFonts w:ascii="Cambria" w:hAnsi="Cambria"/>
          <w:sz w:val="20"/>
          <w:szCs w:val="20"/>
          <w:lang w:val="es-ES"/>
        </w:rPr>
        <w:t xml:space="preserve">fue negado </w:t>
      </w:r>
      <w:r w:rsidR="00E82214">
        <w:rPr>
          <w:rFonts w:ascii="Cambria" w:hAnsi="Cambria"/>
          <w:sz w:val="20"/>
          <w:szCs w:val="20"/>
          <w:lang w:val="es-ES"/>
        </w:rPr>
        <w:t xml:space="preserve">el </w:t>
      </w:r>
      <w:r w:rsidR="00E82214" w:rsidRPr="00316E97">
        <w:rPr>
          <w:rFonts w:ascii="Cambria" w:hAnsi="Cambria"/>
          <w:sz w:val="20"/>
          <w:szCs w:val="20"/>
          <w:lang w:val="es-ES"/>
        </w:rPr>
        <w:t>1</w:t>
      </w:r>
      <w:r w:rsidR="00E82214">
        <w:rPr>
          <w:rFonts w:ascii="Cambria" w:hAnsi="Cambria"/>
          <w:sz w:val="20"/>
          <w:szCs w:val="20"/>
          <w:lang w:val="es-ES"/>
        </w:rPr>
        <w:t xml:space="preserve">º </w:t>
      </w:r>
      <w:r w:rsidR="00E82214" w:rsidRPr="00316E97">
        <w:rPr>
          <w:rFonts w:ascii="Cambria" w:hAnsi="Cambria"/>
          <w:sz w:val="20"/>
          <w:szCs w:val="20"/>
          <w:lang w:val="es-ES"/>
        </w:rPr>
        <w:t xml:space="preserve">de diciembre </w:t>
      </w:r>
      <w:r w:rsidR="00E82214">
        <w:rPr>
          <w:rFonts w:ascii="Cambria" w:hAnsi="Cambria"/>
          <w:sz w:val="20"/>
          <w:szCs w:val="20"/>
          <w:lang w:val="es-ES"/>
        </w:rPr>
        <w:t>de dicho año con</w:t>
      </w:r>
      <w:r w:rsidR="00594D0C" w:rsidRPr="00316E97">
        <w:rPr>
          <w:rFonts w:ascii="Cambria" w:hAnsi="Cambria"/>
          <w:sz w:val="20"/>
          <w:szCs w:val="20"/>
          <w:lang w:val="es-ES"/>
        </w:rPr>
        <w:t xml:space="preserve"> el fundamento de que </w:t>
      </w:r>
      <w:r w:rsidR="00E068AE">
        <w:rPr>
          <w:rFonts w:ascii="Cambria" w:hAnsi="Cambria"/>
          <w:sz w:val="20"/>
          <w:szCs w:val="20"/>
          <w:lang w:val="es-ES"/>
        </w:rPr>
        <w:t xml:space="preserve">la presunta víctima debía </w:t>
      </w:r>
      <w:r w:rsidR="00594D0C" w:rsidRPr="00316E97">
        <w:rPr>
          <w:rFonts w:ascii="Cambria" w:hAnsi="Cambria"/>
          <w:sz w:val="20"/>
          <w:szCs w:val="20"/>
          <w:lang w:val="es-ES"/>
        </w:rPr>
        <w:t>hacer la designación ante el tribunal personalmente</w:t>
      </w:r>
      <w:r w:rsidR="00E82214">
        <w:rPr>
          <w:rFonts w:ascii="Cambria" w:hAnsi="Cambria"/>
          <w:sz w:val="20"/>
          <w:szCs w:val="20"/>
          <w:lang w:val="es-ES"/>
        </w:rPr>
        <w:t>, lo que considera violatorio de</w:t>
      </w:r>
      <w:r w:rsidR="00E82214" w:rsidRPr="00316E97">
        <w:rPr>
          <w:rFonts w:ascii="Cambria" w:hAnsi="Cambria"/>
          <w:sz w:val="20"/>
          <w:szCs w:val="20"/>
          <w:lang w:val="es-ES"/>
        </w:rPr>
        <w:t xml:space="preserve"> la Constitución Venezolana</w:t>
      </w:r>
      <w:r w:rsidR="00E82214">
        <w:rPr>
          <w:rStyle w:val="FootnoteReference"/>
          <w:rFonts w:ascii="Cambria" w:hAnsi="Cambria"/>
          <w:sz w:val="20"/>
          <w:szCs w:val="20"/>
          <w:lang w:val="es-ES"/>
        </w:rPr>
        <w:footnoteReference w:id="4"/>
      </w:r>
      <w:r w:rsidR="00E068AE">
        <w:rPr>
          <w:rFonts w:ascii="Cambria" w:hAnsi="Cambria"/>
          <w:sz w:val="20"/>
          <w:szCs w:val="20"/>
          <w:lang w:val="es-ES"/>
        </w:rPr>
        <w:t>.</w:t>
      </w:r>
      <w:r w:rsidR="007F4EF5">
        <w:rPr>
          <w:rFonts w:ascii="Cambria" w:hAnsi="Cambria"/>
          <w:sz w:val="20"/>
          <w:szCs w:val="20"/>
          <w:lang w:val="es-ES"/>
        </w:rPr>
        <w:t xml:space="preserve"> E</w:t>
      </w:r>
      <w:r w:rsidR="00E26FB5" w:rsidRPr="00316E97">
        <w:rPr>
          <w:rFonts w:ascii="Cambria" w:hAnsi="Cambria"/>
          <w:sz w:val="20"/>
          <w:szCs w:val="20"/>
          <w:lang w:val="es-ES"/>
        </w:rPr>
        <w:t xml:space="preserve">l 20 de diciembre de 2011 presentó </w:t>
      </w:r>
      <w:r w:rsidR="00FA262A">
        <w:rPr>
          <w:rFonts w:ascii="Cambria" w:hAnsi="Cambria"/>
          <w:sz w:val="20"/>
          <w:szCs w:val="20"/>
          <w:lang w:val="es-ES"/>
        </w:rPr>
        <w:t xml:space="preserve">una </w:t>
      </w:r>
      <w:r w:rsidR="00E26FB5" w:rsidRPr="00316E97">
        <w:rPr>
          <w:rFonts w:ascii="Cambria" w:hAnsi="Cambria"/>
          <w:sz w:val="20"/>
          <w:szCs w:val="20"/>
          <w:lang w:val="es-ES"/>
        </w:rPr>
        <w:t xml:space="preserve">apelación, </w:t>
      </w:r>
      <w:r w:rsidR="00FA262A">
        <w:rPr>
          <w:rFonts w:ascii="Cambria" w:hAnsi="Cambria"/>
          <w:sz w:val="20"/>
          <w:szCs w:val="20"/>
          <w:lang w:val="es-ES"/>
        </w:rPr>
        <w:t xml:space="preserve">que fue </w:t>
      </w:r>
      <w:r w:rsidR="00E26FB5" w:rsidRPr="00316E97">
        <w:rPr>
          <w:rFonts w:ascii="Cambria" w:hAnsi="Cambria"/>
          <w:sz w:val="20"/>
          <w:szCs w:val="20"/>
          <w:lang w:val="es-ES"/>
        </w:rPr>
        <w:t xml:space="preserve">negada el 13 de febrero de 2012 por la Sala Tercera de Apelaciones de la Corte de Apelaciones de Circunscripción Judicial del Área Metropolitana de Caracas; el 5 de marzo de 2012, presentó </w:t>
      </w:r>
      <w:r w:rsidR="00FA262A">
        <w:rPr>
          <w:rFonts w:ascii="Cambria" w:hAnsi="Cambria"/>
          <w:sz w:val="20"/>
          <w:szCs w:val="20"/>
          <w:lang w:val="es-ES"/>
        </w:rPr>
        <w:t xml:space="preserve">un </w:t>
      </w:r>
      <w:r w:rsidR="00E26FB5" w:rsidRPr="00316E97">
        <w:rPr>
          <w:rFonts w:ascii="Cambria" w:hAnsi="Cambria"/>
          <w:sz w:val="20"/>
          <w:szCs w:val="20"/>
          <w:lang w:val="es-ES"/>
        </w:rPr>
        <w:t xml:space="preserve">recurso de amparo ante la Sala Constitucional del Tribunal de Justicia, declarado improcedente el 3 de agosto de 2012. Afirma que el caso tiene </w:t>
      </w:r>
      <w:r w:rsidR="00FA262A">
        <w:rPr>
          <w:rFonts w:ascii="Cambria" w:hAnsi="Cambria"/>
          <w:sz w:val="20"/>
          <w:szCs w:val="20"/>
          <w:lang w:val="es-ES"/>
        </w:rPr>
        <w:t xml:space="preserve">un </w:t>
      </w:r>
      <w:r w:rsidR="00E26FB5" w:rsidRPr="00316E97">
        <w:rPr>
          <w:rFonts w:ascii="Cambria" w:hAnsi="Cambria"/>
          <w:sz w:val="20"/>
          <w:szCs w:val="20"/>
          <w:lang w:val="es-ES"/>
        </w:rPr>
        <w:t>matiz político debido a las actuaciones emprendidas por el Gobierno</w:t>
      </w:r>
      <w:r>
        <w:rPr>
          <w:rFonts w:ascii="Cambria" w:hAnsi="Cambria"/>
          <w:sz w:val="20"/>
          <w:szCs w:val="20"/>
          <w:lang w:val="es-ES"/>
        </w:rPr>
        <w:t xml:space="preserve"> de Venezuela</w:t>
      </w:r>
      <w:r w:rsidR="00E26FB5" w:rsidRPr="00316E97">
        <w:rPr>
          <w:rFonts w:ascii="Cambria" w:hAnsi="Cambria"/>
          <w:sz w:val="20"/>
          <w:szCs w:val="20"/>
          <w:lang w:val="es-ES"/>
        </w:rPr>
        <w:t xml:space="preserve"> contra las instituciones financieras</w:t>
      </w:r>
      <w:r w:rsidR="00FA262A">
        <w:rPr>
          <w:rFonts w:ascii="Cambria" w:hAnsi="Cambria"/>
          <w:sz w:val="20"/>
          <w:szCs w:val="20"/>
          <w:lang w:val="es-ES"/>
        </w:rPr>
        <w:t>,</w:t>
      </w:r>
      <w:r w:rsidR="00E26FB5" w:rsidRPr="00316E97">
        <w:rPr>
          <w:rFonts w:ascii="Cambria" w:hAnsi="Cambria"/>
          <w:sz w:val="20"/>
          <w:szCs w:val="20"/>
          <w:lang w:val="es-ES"/>
        </w:rPr>
        <w:t xml:space="preserve"> y que la Interpol determinó la remoción de la base de datos de la presunta víctima y la eliminación de la alerta roja con orden de captura internacional. </w:t>
      </w:r>
    </w:p>
    <w:p w14:paraId="2EF7A7C0"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1FBA7A9" w14:textId="524B548E" w:rsidR="007F4EF5" w:rsidRDefault="000035B1"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Por su parte</w:t>
      </w:r>
      <w:r w:rsidR="0043324F">
        <w:rPr>
          <w:rFonts w:ascii="Cambria" w:hAnsi="Cambria"/>
          <w:sz w:val="20"/>
          <w:szCs w:val="20"/>
          <w:lang w:val="es-ES"/>
        </w:rPr>
        <w:t xml:space="preserve">, el Estado afirma que la presunta víctima decidió evadir el proceso penal y </w:t>
      </w:r>
      <w:r w:rsidR="00081EEE">
        <w:rPr>
          <w:rFonts w:ascii="Cambria" w:hAnsi="Cambria"/>
          <w:sz w:val="20"/>
          <w:szCs w:val="20"/>
          <w:lang w:val="es-ES"/>
        </w:rPr>
        <w:t xml:space="preserve">que </w:t>
      </w:r>
      <w:r w:rsidR="0043324F">
        <w:rPr>
          <w:rFonts w:ascii="Cambria" w:hAnsi="Cambria"/>
          <w:sz w:val="20"/>
          <w:szCs w:val="20"/>
          <w:lang w:val="es-ES"/>
        </w:rPr>
        <w:t>se encuentra prófug</w:t>
      </w:r>
      <w:r w:rsidR="00081EEE">
        <w:rPr>
          <w:rFonts w:ascii="Cambria" w:hAnsi="Cambria"/>
          <w:sz w:val="20"/>
          <w:szCs w:val="20"/>
          <w:lang w:val="es-ES"/>
        </w:rPr>
        <w:t>a</w:t>
      </w:r>
      <w:r w:rsidR="0043324F">
        <w:rPr>
          <w:rFonts w:ascii="Cambria" w:hAnsi="Cambria"/>
          <w:sz w:val="20"/>
          <w:szCs w:val="20"/>
          <w:lang w:val="es-ES"/>
        </w:rPr>
        <w:t xml:space="preserve"> de la </w:t>
      </w:r>
      <w:r w:rsidR="00081EEE">
        <w:rPr>
          <w:rFonts w:ascii="Cambria" w:hAnsi="Cambria"/>
          <w:sz w:val="20"/>
          <w:szCs w:val="20"/>
          <w:lang w:val="es-ES"/>
        </w:rPr>
        <w:t>j</w:t>
      </w:r>
      <w:r w:rsidR="0043324F">
        <w:rPr>
          <w:rFonts w:ascii="Cambria" w:hAnsi="Cambria"/>
          <w:sz w:val="20"/>
          <w:szCs w:val="20"/>
          <w:lang w:val="es-ES"/>
        </w:rPr>
        <w:t>usticia venezolana, ya que al momento de presentar sus escritos se encontraba resid</w:t>
      </w:r>
      <w:r>
        <w:rPr>
          <w:rFonts w:ascii="Cambria" w:hAnsi="Cambria"/>
          <w:sz w:val="20"/>
          <w:szCs w:val="20"/>
          <w:lang w:val="es-ES"/>
        </w:rPr>
        <w:t>iendo</w:t>
      </w:r>
      <w:r w:rsidR="0043324F">
        <w:rPr>
          <w:rFonts w:ascii="Cambria" w:hAnsi="Cambria"/>
          <w:sz w:val="20"/>
          <w:szCs w:val="20"/>
          <w:lang w:val="es-ES"/>
        </w:rPr>
        <w:t xml:space="preserve"> en territorio de los Estados Unidos de América y, previamente, en España. Además, alega que la orden de aprehensión </w:t>
      </w:r>
      <w:r w:rsidR="00C9331A">
        <w:rPr>
          <w:rFonts w:ascii="Cambria" w:hAnsi="Cambria"/>
          <w:sz w:val="20"/>
          <w:szCs w:val="20"/>
          <w:lang w:val="es-ES"/>
        </w:rPr>
        <w:t>contra</w:t>
      </w:r>
      <w:r w:rsidR="0043324F">
        <w:rPr>
          <w:rFonts w:ascii="Cambria" w:hAnsi="Cambria"/>
          <w:sz w:val="20"/>
          <w:szCs w:val="20"/>
          <w:lang w:val="es-ES"/>
        </w:rPr>
        <w:t xml:space="preserve"> la presunta víctima </w:t>
      </w:r>
      <w:r w:rsidR="00C9331A">
        <w:rPr>
          <w:rFonts w:ascii="Cambria" w:hAnsi="Cambria"/>
          <w:sz w:val="20"/>
          <w:szCs w:val="20"/>
          <w:lang w:val="es-ES"/>
        </w:rPr>
        <w:t>fue</w:t>
      </w:r>
      <w:r w:rsidR="0043324F">
        <w:rPr>
          <w:rFonts w:ascii="Cambria" w:hAnsi="Cambria"/>
          <w:sz w:val="20"/>
          <w:szCs w:val="20"/>
          <w:lang w:val="es-ES"/>
        </w:rPr>
        <w:t xml:space="preserve"> emitida en un proceso penal ordinario, por </w:t>
      </w:r>
      <w:r w:rsidR="00C9331A">
        <w:rPr>
          <w:rFonts w:ascii="Cambria" w:hAnsi="Cambria"/>
          <w:sz w:val="20"/>
          <w:szCs w:val="20"/>
          <w:lang w:val="es-ES"/>
        </w:rPr>
        <w:t>un t</w:t>
      </w:r>
      <w:r w:rsidR="0043324F">
        <w:rPr>
          <w:rFonts w:ascii="Cambria" w:hAnsi="Cambria"/>
          <w:sz w:val="20"/>
          <w:szCs w:val="20"/>
          <w:lang w:val="es-ES"/>
        </w:rPr>
        <w:t xml:space="preserve">ribunal competente, previa solicitud del Ministerio Público </w:t>
      </w:r>
      <w:r w:rsidR="00C9331A">
        <w:rPr>
          <w:rFonts w:ascii="Cambria" w:hAnsi="Cambria"/>
          <w:sz w:val="20"/>
          <w:szCs w:val="20"/>
          <w:lang w:val="es-ES"/>
        </w:rPr>
        <w:t>por</w:t>
      </w:r>
      <w:r w:rsidR="0043324F">
        <w:rPr>
          <w:rFonts w:ascii="Cambria" w:hAnsi="Cambria"/>
          <w:sz w:val="20"/>
          <w:szCs w:val="20"/>
          <w:lang w:val="es-ES"/>
        </w:rPr>
        <w:t xml:space="preserve"> la presunta comisión de delitos especialmente graves según la legislación de Venezuela</w:t>
      </w:r>
      <w:r w:rsidR="00C9331A">
        <w:rPr>
          <w:rFonts w:ascii="Cambria" w:hAnsi="Cambria"/>
          <w:sz w:val="20"/>
          <w:szCs w:val="20"/>
          <w:lang w:val="es-ES"/>
        </w:rPr>
        <w:t>;</w:t>
      </w:r>
      <w:r w:rsidR="0043324F">
        <w:rPr>
          <w:rFonts w:ascii="Cambria" w:hAnsi="Cambria"/>
          <w:sz w:val="20"/>
          <w:szCs w:val="20"/>
          <w:lang w:val="es-ES"/>
        </w:rPr>
        <w:t xml:space="preserve"> y que la referida orden de prisión no fue aplicada, pues la presunta víctima</w:t>
      </w:r>
      <w:r w:rsidR="008E614D">
        <w:rPr>
          <w:rFonts w:ascii="Cambria" w:hAnsi="Cambria"/>
          <w:sz w:val="20"/>
          <w:szCs w:val="20"/>
          <w:lang w:val="es-ES"/>
        </w:rPr>
        <w:t xml:space="preserve"> huyó del territorio venezolano</w:t>
      </w:r>
      <w:r w:rsidR="0043324F">
        <w:rPr>
          <w:rFonts w:ascii="Cambria" w:hAnsi="Cambria"/>
          <w:sz w:val="20"/>
          <w:szCs w:val="20"/>
          <w:lang w:val="es-ES"/>
        </w:rPr>
        <w:t>.</w:t>
      </w:r>
      <w:r w:rsidR="008E614D">
        <w:rPr>
          <w:rFonts w:ascii="Cambria" w:hAnsi="Cambria"/>
          <w:sz w:val="20"/>
          <w:szCs w:val="20"/>
          <w:lang w:val="es-ES"/>
        </w:rPr>
        <w:t xml:space="preserve"> </w:t>
      </w:r>
    </w:p>
    <w:p w14:paraId="1B418776" w14:textId="084952D1"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16DCCE5" w14:textId="2F103156" w:rsidR="000762C5" w:rsidRDefault="008E614D"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Asevera que el </w:t>
      </w:r>
      <w:r w:rsidR="00E37758">
        <w:rPr>
          <w:rFonts w:ascii="Cambria" w:hAnsi="Cambria"/>
          <w:sz w:val="20"/>
          <w:szCs w:val="20"/>
          <w:lang w:val="es-ES"/>
        </w:rPr>
        <w:t>peticionario</w:t>
      </w:r>
      <w:r>
        <w:rPr>
          <w:rFonts w:ascii="Cambria" w:hAnsi="Cambria"/>
          <w:sz w:val="20"/>
          <w:szCs w:val="20"/>
          <w:lang w:val="es-ES"/>
        </w:rPr>
        <w:t xml:space="preserve"> ha podido acudir a todas las instancias jurisdiccionales competentes, obteniendo oportuna y adecuada respuesta, y que el peticionario presentó una petición sin incorporar el documento fundamental que le otorgaba la supuesta condición de abogado defensor y represente judicial, y que del documento presentado no se aprecia que se hayan realizado las actuaciones propias de la legalización o apostilla de documento. Afirma que todas las decisiones a</w:t>
      </w:r>
      <w:r w:rsidR="000035B1">
        <w:rPr>
          <w:rFonts w:ascii="Cambria" w:hAnsi="Cambria"/>
          <w:sz w:val="20"/>
          <w:szCs w:val="20"/>
          <w:lang w:val="es-ES"/>
        </w:rPr>
        <w:t>doptadas por el Poder Judicial</w:t>
      </w:r>
      <w:r>
        <w:rPr>
          <w:rFonts w:ascii="Cambria" w:hAnsi="Cambria"/>
          <w:sz w:val="20"/>
          <w:szCs w:val="20"/>
          <w:lang w:val="es-ES"/>
        </w:rPr>
        <w:t xml:space="preserve"> fueron emitidas para proteger el derecho de la presunta víctima a no ser juzgado en ausencia</w:t>
      </w:r>
      <w:r w:rsidR="00C36E34">
        <w:rPr>
          <w:rFonts w:ascii="Cambria" w:hAnsi="Cambria"/>
          <w:sz w:val="20"/>
          <w:szCs w:val="20"/>
          <w:lang w:val="es-ES"/>
        </w:rPr>
        <w:t xml:space="preserve">. </w:t>
      </w:r>
      <w:r w:rsidR="000762C5">
        <w:rPr>
          <w:rFonts w:ascii="Cambria" w:hAnsi="Cambria"/>
          <w:sz w:val="20"/>
          <w:szCs w:val="20"/>
          <w:lang w:val="es-ES"/>
        </w:rPr>
        <w:t>S</w:t>
      </w:r>
      <w:r w:rsidR="0043324F" w:rsidRPr="00C36E34">
        <w:rPr>
          <w:rFonts w:ascii="Cambria" w:hAnsi="Cambria"/>
          <w:sz w:val="20"/>
          <w:szCs w:val="20"/>
          <w:lang w:val="es-ES"/>
        </w:rPr>
        <w:t xml:space="preserve">ostiene que </w:t>
      </w:r>
      <w:r w:rsidR="000762C5">
        <w:rPr>
          <w:rFonts w:ascii="Cambria" w:hAnsi="Cambria"/>
          <w:sz w:val="20"/>
          <w:szCs w:val="20"/>
          <w:lang w:val="es-ES"/>
        </w:rPr>
        <w:t xml:space="preserve">el peticionario no </w:t>
      </w:r>
      <w:r w:rsidR="0043324F" w:rsidRPr="00C36E34">
        <w:rPr>
          <w:rFonts w:ascii="Cambria" w:hAnsi="Cambria"/>
          <w:sz w:val="20"/>
          <w:szCs w:val="20"/>
          <w:lang w:val="es-ES"/>
        </w:rPr>
        <w:t xml:space="preserve">ha presentado los recursos adecuado ante el </w:t>
      </w:r>
      <w:r w:rsidR="00C9331A">
        <w:rPr>
          <w:rFonts w:ascii="Cambria" w:hAnsi="Cambria"/>
          <w:sz w:val="20"/>
          <w:szCs w:val="20"/>
          <w:lang w:val="es-ES"/>
        </w:rPr>
        <w:t>P</w:t>
      </w:r>
      <w:r w:rsidR="0043324F" w:rsidRPr="00C36E34">
        <w:rPr>
          <w:rFonts w:ascii="Cambria" w:hAnsi="Cambria"/>
          <w:sz w:val="20"/>
          <w:szCs w:val="20"/>
          <w:lang w:val="es-ES"/>
        </w:rPr>
        <w:t xml:space="preserve">oder </w:t>
      </w:r>
      <w:r w:rsidR="00C9331A">
        <w:rPr>
          <w:rFonts w:ascii="Cambria" w:hAnsi="Cambria"/>
          <w:sz w:val="20"/>
          <w:szCs w:val="20"/>
          <w:lang w:val="es-ES"/>
        </w:rPr>
        <w:t>J</w:t>
      </w:r>
      <w:r w:rsidR="0043324F" w:rsidRPr="00C36E34">
        <w:rPr>
          <w:rFonts w:ascii="Cambria" w:hAnsi="Cambria"/>
          <w:sz w:val="20"/>
          <w:szCs w:val="20"/>
          <w:lang w:val="es-ES"/>
        </w:rPr>
        <w:t>udicia</w:t>
      </w:r>
      <w:r w:rsidR="000762C5">
        <w:rPr>
          <w:rFonts w:ascii="Cambria" w:hAnsi="Cambria"/>
          <w:sz w:val="20"/>
          <w:szCs w:val="20"/>
          <w:lang w:val="es-ES"/>
        </w:rPr>
        <w:t>l</w:t>
      </w:r>
      <w:r w:rsidR="0043324F" w:rsidRPr="00C36E34">
        <w:rPr>
          <w:rFonts w:ascii="Cambria" w:hAnsi="Cambria"/>
          <w:sz w:val="20"/>
          <w:szCs w:val="20"/>
          <w:lang w:val="es-ES"/>
        </w:rPr>
        <w:t xml:space="preserve"> venezolano</w:t>
      </w:r>
      <w:r w:rsidR="00C9331A">
        <w:rPr>
          <w:rFonts w:ascii="Cambria" w:hAnsi="Cambria"/>
          <w:sz w:val="20"/>
          <w:szCs w:val="20"/>
          <w:lang w:val="es-ES"/>
        </w:rPr>
        <w:t>,</w:t>
      </w:r>
      <w:r w:rsidR="0043324F" w:rsidRPr="00C36E34">
        <w:rPr>
          <w:rFonts w:ascii="Cambria" w:hAnsi="Cambria"/>
          <w:sz w:val="20"/>
          <w:szCs w:val="20"/>
          <w:lang w:val="es-ES"/>
        </w:rPr>
        <w:t xml:space="preserve"> </w:t>
      </w:r>
      <w:r w:rsidR="00C9331A">
        <w:rPr>
          <w:rFonts w:ascii="Cambria" w:hAnsi="Cambria"/>
          <w:sz w:val="20"/>
          <w:szCs w:val="20"/>
          <w:lang w:val="es-ES"/>
        </w:rPr>
        <w:t>pues</w:t>
      </w:r>
      <w:r w:rsidR="000762C5" w:rsidRPr="00E01D86">
        <w:rPr>
          <w:rFonts w:ascii="Cambria" w:hAnsi="Cambria"/>
          <w:sz w:val="20"/>
          <w:szCs w:val="20"/>
          <w:lang w:val="es-ES"/>
        </w:rPr>
        <w:t xml:space="preserve"> no</w:t>
      </w:r>
      <w:r w:rsidR="000762C5">
        <w:rPr>
          <w:rFonts w:ascii="Cambria" w:hAnsi="Cambria"/>
          <w:sz w:val="20"/>
          <w:szCs w:val="20"/>
          <w:lang w:val="es-ES"/>
        </w:rPr>
        <w:t xml:space="preserve"> </w:t>
      </w:r>
      <w:r w:rsidR="00C9331A">
        <w:rPr>
          <w:rFonts w:ascii="Cambria" w:hAnsi="Cambria"/>
          <w:sz w:val="20"/>
          <w:szCs w:val="20"/>
          <w:lang w:val="es-ES"/>
        </w:rPr>
        <w:t>planteó</w:t>
      </w:r>
      <w:r w:rsidR="000762C5" w:rsidRPr="00E01D86">
        <w:rPr>
          <w:rFonts w:ascii="Cambria" w:hAnsi="Cambria"/>
          <w:sz w:val="20"/>
          <w:szCs w:val="20"/>
          <w:lang w:val="es-ES"/>
        </w:rPr>
        <w:t xml:space="preserve"> el recurso de casación ante la Sala de Casación Penal del Tribunal</w:t>
      </w:r>
      <w:r w:rsidR="000762C5">
        <w:rPr>
          <w:rFonts w:ascii="Cambria" w:hAnsi="Cambria"/>
          <w:sz w:val="20"/>
          <w:szCs w:val="20"/>
          <w:lang w:val="es-ES"/>
        </w:rPr>
        <w:t xml:space="preserve"> </w:t>
      </w:r>
      <w:r w:rsidR="000762C5" w:rsidRPr="00E01D86">
        <w:rPr>
          <w:rFonts w:ascii="Cambria" w:hAnsi="Cambria"/>
          <w:sz w:val="20"/>
          <w:szCs w:val="20"/>
          <w:lang w:val="es-ES"/>
        </w:rPr>
        <w:t xml:space="preserve">Supremo de Justicia contra la sentencia </w:t>
      </w:r>
      <w:r w:rsidR="00C9331A">
        <w:rPr>
          <w:rFonts w:ascii="Cambria" w:hAnsi="Cambria"/>
          <w:sz w:val="20"/>
          <w:szCs w:val="20"/>
          <w:lang w:val="es-ES"/>
        </w:rPr>
        <w:t>de 3</w:t>
      </w:r>
      <w:r w:rsidR="00C9331A" w:rsidRPr="00E01D86">
        <w:rPr>
          <w:rFonts w:ascii="Cambria" w:hAnsi="Cambria"/>
          <w:sz w:val="20"/>
          <w:szCs w:val="20"/>
          <w:lang w:val="es-ES"/>
        </w:rPr>
        <w:t xml:space="preserve"> de febrero de 2012</w:t>
      </w:r>
      <w:r w:rsidR="00C9331A">
        <w:rPr>
          <w:rFonts w:ascii="Cambria" w:hAnsi="Cambria"/>
          <w:sz w:val="20"/>
          <w:szCs w:val="20"/>
          <w:lang w:val="es-ES"/>
        </w:rPr>
        <w:t xml:space="preserve"> de</w:t>
      </w:r>
      <w:r w:rsidR="000762C5" w:rsidRPr="00E01D86">
        <w:rPr>
          <w:rFonts w:ascii="Cambria" w:hAnsi="Cambria"/>
          <w:sz w:val="20"/>
          <w:szCs w:val="20"/>
          <w:lang w:val="es-ES"/>
        </w:rPr>
        <w:t xml:space="preserve"> la Sala Tercera de la Corte de</w:t>
      </w:r>
      <w:r w:rsidR="000762C5">
        <w:rPr>
          <w:rFonts w:ascii="Cambria" w:hAnsi="Cambria"/>
          <w:sz w:val="20"/>
          <w:szCs w:val="20"/>
          <w:lang w:val="es-ES"/>
        </w:rPr>
        <w:t xml:space="preserve"> </w:t>
      </w:r>
      <w:r w:rsidR="000762C5" w:rsidRPr="00E01D86">
        <w:rPr>
          <w:rFonts w:ascii="Cambria" w:hAnsi="Cambria"/>
          <w:sz w:val="20"/>
          <w:szCs w:val="20"/>
          <w:lang w:val="es-ES"/>
        </w:rPr>
        <w:t>Apelaciones del Circuito Penal del Área Metropolitana de Caracas.</w:t>
      </w:r>
      <w:r w:rsidR="000762C5">
        <w:rPr>
          <w:rFonts w:ascii="Cambria" w:hAnsi="Cambria"/>
          <w:sz w:val="20"/>
          <w:szCs w:val="20"/>
          <w:lang w:val="es-ES"/>
        </w:rPr>
        <w:t xml:space="preserve"> Aduce </w:t>
      </w:r>
      <w:r w:rsidR="00B01516">
        <w:rPr>
          <w:rFonts w:ascii="Cambria" w:hAnsi="Cambria"/>
          <w:sz w:val="20"/>
          <w:szCs w:val="20"/>
          <w:lang w:val="es-ES"/>
        </w:rPr>
        <w:t>que</w:t>
      </w:r>
      <w:r w:rsidR="000762C5" w:rsidRPr="00E01D86">
        <w:rPr>
          <w:rFonts w:ascii="Cambria" w:hAnsi="Cambria"/>
          <w:sz w:val="20"/>
          <w:szCs w:val="20"/>
          <w:lang w:val="es-ES"/>
        </w:rPr>
        <w:t xml:space="preserve"> el peticionario se limitó</w:t>
      </w:r>
      <w:r w:rsidR="000762C5">
        <w:rPr>
          <w:rFonts w:ascii="Cambria" w:hAnsi="Cambria"/>
          <w:sz w:val="20"/>
          <w:szCs w:val="20"/>
          <w:lang w:val="es-ES"/>
        </w:rPr>
        <w:t xml:space="preserve"> </w:t>
      </w:r>
      <w:r w:rsidR="000762C5" w:rsidRPr="00E01D86">
        <w:rPr>
          <w:rFonts w:ascii="Cambria" w:hAnsi="Cambria"/>
          <w:sz w:val="20"/>
          <w:szCs w:val="20"/>
          <w:lang w:val="es-ES"/>
        </w:rPr>
        <w:t>a ejercer una acción de amparo constitucional ante la Sala Constitucional del</w:t>
      </w:r>
      <w:r w:rsidR="000762C5">
        <w:rPr>
          <w:rFonts w:ascii="Cambria" w:hAnsi="Cambria"/>
          <w:sz w:val="20"/>
          <w:szCs w:val="20"/>
          <w:lang w:val="es-ES"/>
        </w:rPr>
        <w:t xml:space="preserve"> </w:t>
      </w:r>
      <w:r w:rsidR="000762C5" w:rsidRPr="00E01D86">
        <w:rPr>
          <w:rFonts w:ascii="Cambria" w:hAnsi="Cambria"/>
          <w:sz w:val="20"/>
          <w:szCs w:val="20"/>
          <w:lang w:val="es-ES"/>
        </w:rPr>
        <w:t>Tribunal Supremo de Justicia, cuando en realidad lo procedente era ejercer el</w:t>
      </w:r>
      <w:r w:rsidR="000762C5">
        <w:rPr>
          <w:rFonts w:ascii="Cambria" w:hAnsi="Cambria"/>
          <w:sz w:val="20"/>
          <w:szCs w:val="20"/>
          <w:lang w:val="es-ES"/>
        </w:rPr>
        <w:t xml:space="preserve"> </w:t>
      </w:r>
      <w:r w:rsidR="000762C5" w:rsidRPr="00E01D86">
        <w:rPr>
          <w:rFonts w:ascii="Cambria" w:hAnsi="Cambria"/>
          <w:sz w:val="20"/>
          <w:szCs w:val="20"/>
          <w:lang w:val="es-ES"/>
        </w:rPr>
        <w:t>recurso de casación ante la Sala del Tribunal Supremo de Justicia competente por</w:t>
      </w:r>
      <w:r w:rsidR="000762C5">
        <w:rPr>
          <w:rFonts w:ascii="Cambria" w:hAnsi="Cambria"/>
          <w:sz w:val="20"/>
          <w:szCs w:val="20"/>
          <w:lang w:val="es-ES"/>
        </w:rPr>
        <w:t xml:space="preserve"> </w:t>
      </w:r>
      <w:r w:rsidR="000762C5" w:rsidRPr="00E01D86">
        <w:rPr>
          <w:rFonts w:ascii="Cambria" w:hAnsi="Cambria"/>
          <w:sz w:val="20"/>
          <w:szCs w:val="20"/>
          <w:lang w:val="es-ES"/>
        </w:rPr>
        <w:t>la materia, como se encuentra previsto en los artículos 451 y siguientes del</w:t>
      </w:r>
      <w:r w:rsidR="000762C5">
        <w:rPr>
          <w:rFonts w:ascii="Cambria" w:hAnsi="Cambria"/>
          <w:sz w:val="20"/>
          <w:szCs w:val="20"/>
          <w:lang w:val="es-ES"/>
        </w:rPr>
        <w:t xml:space="preserve"> </w:t>
      </w:r>
      <w:r w:rsidR="000762C5" w:rsidRPr="00E01D86">
        <w:rPr>
          <w:rFonts w:ascii="Cambria" w:hAnsi="Cambria"/>
          <w:sz w:val="20"/>
          <w:szCs w:val="20"/>
          <w:lang w:val="es-ES"/>
        </w:rPr>
        <w:t>Código Orgánico Procesal Penal.</w:t>
      </w:r>
    </w:p>
    <w:p w14:paraId="333FE133"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604F254" w14:textId="00B17771" w:rsidR="00194BAA" w:rsidRPr="00E01D86" w:rsidRDefault="000762C5"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Finalmente, el Estado aduce </w:t>
      </w:r>
      <w:r w:rsidR="0043324F" w:rsidRPr="00C36E34">
        <w:rPr>
          <w:rFonts w:ascii="Cambria" w:hAnsi="Cambria"/>
          <w:sz w:val="20"/>
          <w:szCs w:val="20"/>
          <w:lang w:val="es-ES"/>
        </w:rPr>
        <w:t xml:space="preserve">que la petición no expone hechos que caracterizan violaciones </w:t>
      </w:r>
      <w:r w:rsidR="00C9331A">
        <w:rPr>
          <w:rFonts w:ascii="Cambria" w:hAnsi="Cambria"/>
          <w:sz w:val="20"/>
          <w:szCs w:val="20"/>
          <w:lang w:val="es-ES"/>
        </w:rPr>
        <w:t>de</w:t>
      </w:r>
      <w:r w:rsidR="0043324F" w:rsidRPr="00C36E34">
        <w:rPr>
          <w:rFonts w:ascii="Cambria" w:hAnsi="Cambria"/>
          <w:sz w:val="20"/>
          <w:szCs w:val="20"/>
          <w:lang w:val="es-ES"/>
        </w:rPr>
        <w:t xml:space="preserve"> derechos humanos</w:t>
      </w:r>
      <w:r>
        <w:rPr>
          <w:rFonts w:ascii="Cambria" w:hAnsi="Cambria"/>
          <w:sz w:val="20"/>
          <w:szCs w:val="20"/>
          <w:lang w:val="es-ES"/>
        </w:rPr>
        <w:t xml:space="preserve"> </w:t>
      </w:r>
      <w:r w:rsidR="008E614D" w:rsidRPr="00C36E34">
        <w:rPr>
          <w:rFonts w:ascii="Cambria" w:hAnsi="Cambria"/>
          <w:sz w:val="20"/>
          <w:szCs w:val="20"/>
          <w:lang w:val="es-ES"/>
        </w:rPr>
        <w:t>y que el peticionar</w:t>
      </w:r>
      <w:r w:rsidR="003457EF">
        <w:rPr>
          <w:rFonts w:ascii="Cambria" w:hAnsi="Cambria"/>
          <w:sz w:val="20"/>
          <w:szCs w:val="20"/>
          <w:lang w:val="es-ES"/>
        </w:rPr>
        <w:t>io</w:t>
      </w:r>
      <w:r w:rsidR="008E614D" w:rsidRPr="00C36E34">
        <w:rPr>
          <w:rFonts w:ascii="Cambria" w:hAnsi="Cambria"/>
          <w:sz w:val="20"/>
          <w:szCs w:val="20"/>
          <w:lang w:val="es-ES"/>
        </w:rPr>
        <w:t xml:space="preserve"> está en desacuerdo con el conte</w:t>
      </w:r>
      <w:r w:rsidR="00C36E34">
        <w:rPr>
          <w:rFonts w:ascii="Cambria" w:hAnsi="Cambria"/>
          <w:sz w:val="20"/>
          <w:szCs w:val="20"/>
          <w:lang w:val="es-ES"/>
        </w:rPr>
        <w:t>nido de las decisiones internas</w:t>
      </w:r>
      <w:r w:rsidR="0043324F" w:rsidRPr="00C36E34">
        <w:rPr>
          <w:rFonts w:ascii="Cambria" w:hAnsi="Cambria"/>
          <w:sz w:val="20"/>
          <w:szCs w:val="20"/>
          <w:lang w:val="es-ES"/>
        </w:rPr>
        <w:t xml:space="preserve">. </w:t>
      </w:r>
    </w:p>
    <w:p w14:paraId="24271CBD" w14:textId="77777777" w:rsidR="00F1512D" w:rsidRDefault="00F1512D" w:rsidP="00F1512D">
      <w:pPr>
        <w:pStyle w:val="ListParagraph"/>
        <w:jc w:val="both"/>
        <w:rPr>
          <w:rFonts w:asciiTheme="majorHAnsi" w:hAnsiTheme="majorHAnsi"/>
          <w:b/>
          <w:bCs/>
          <w:sz w:val="20"/>
          <w:szCs w:val="20"/>
          <w:lang w:val="es-ES"/>
        </w:rPr>
      </w:pPr>
    </w:p>
    <w:p w14:paraId="3FE6F5AE" w14:textId="7192B498" w:rsidR="004C616A" w:rsidRPr="00D10D7C" w:rsidRDefault="004C616A" w:rsidP="00F1512D">
      <w:pPr>
        <w:pStyle w:val="ListParagraph"/>
        <w:jc w:val="both"/>
        <w:rPr>
          <w:rFonts w:asciiTheme="majorHAnsi" w:hAnsiTheme="majorHAnsi"/>
          <w:b/>
          <w:bCs/>
          <w:sz w:val="20"/>
          <w:szCs w:val="20"/>
          <w:lang w:val="es-ES"/>
        </w:rPr>
      </w:pPr>
      <w:r w:rsidRPr="00E26FB5">
        <w:rPr>
          <w:rFonts w:asciiTheme="majorHAnsi" w:hAnsiTheme="majorHAnsi"/>
          <w:b/>
          <w:bCs/>
          <w:sz w:val="20"/>
          <w:szCs w:val="20"/>
          <w:lang w:val="es-ES"/>
        </w:rPr>
        <w:t xml:space="preserve">VI. </w:t>
      </w:r>
      <w:r w:rsidRPr="00E26FB5">
        <w:rPr>
          <w:rFonts w:asciiTheme="majorHAnsi" w:hAnsiTheme="majorHAnsi"/>
          <w:b/>
          <w:bCs/>
          <w:sz w:val="20"/>
          <w:szCs w:val="20"/>
          <w:lang w:val="es-ES"/>
        </w:rPr>
        <w:tab/>
      </w:r>
      <w:r w:rsidRPr="00D10D7C">
        <w:rPr>
          <w:rFonts w:asciiTheme="majorHAnsi" w:hAnsiTheme="majorHAnsi"/>
          <w:b/>
          <w:bCs/>
          <w:sz w:val="20"/>
          <w:szCs w:val="20"/>
          <w:lang w:val="es-ES"/>
        </w:rPr>
        <w:t>AGOTAMIENTO DE LOS RECURSOS INTERNOS Y PLAZO DE PRESENTACIÓN</w:t>
      </w:r>
    </w:p>
    <w:p w14:paraId="5372C43D"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B1AB973" w14:textId="54EE424F" w:rsidR="00A625E0" w:rsidRPr="00ED2D41" w:rsidRDefault="00C36E34"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10D7C">
        <w:rPr>
          <w:rFonts w:ascii="Cambria" w:hAnsi="Cambria"/>
          <w:sz w:val="20"/>
          <w:szCs w:val="20"/>
          <w:lang w:val="es-ES"/>
        </w:rPr>
        <w:t xml:space="preserve">El Estado afirma </w:t>
      </w:r>
      <w:r w:rsidR="00A04BDF">
        <w:rPr>
          <w:rFonts w:ascii="Cambria" w:hAnsi="Cambria"/>
          <w:sz w:val="20"/>
          <w:szCs w:val="20"/>
          <w:lang w:val="es-ES"/>
        </w:rPr>
        <w:t xml:space="preserve">que la presunta víctima no agotó </w:t>
      </w:r>
      <w:r w:rsidRPr="00D10D7C">
        <w:rPr>
          <w:rFonts w:ascii="Cambria" w:hAnsi="Cambria"/>
          <w:sz w:val="20"/>
          <w:szCs w:val="20"/>
          <w:lang w:val="es-ES"/>
        </w:rPr>
        <w:t xml:space="preserve">el recurso de casación ante la Sala de Casación Penal del Tribunal Supremo de Justicia contra la sentencia emitida por la Sala Tercera de la Corte de Apelaciones del </w:t>
      </w:r>
      <w:r w:rsidRPr="00ED2D41">
        <w:rPr>
          <w:rFonts w:ascii="Cambria" w:hAnsi="Cambria"/>
          <w:sz w:val="20"/>
          <w:szCs w:val="20"/>
          <w:lang w:val="es-ES"/>
        </w:rPr>
        <w:t>Circuito Penal del Área Metropolitana</w:t>
      </w:r>
      <w:r w:rsidR="00BC6FD7" w:rsidRPr="00ED2D41">
        <w:rPr>
          <w:rFonts w:ascii="Cambria" w:hAnsi="Cambria"/>
          <w:sz w:val="20"/>
          <w:szCs w:val="20"/>
          <w:lang w:val="es-ES"/>
        </w:rPr>
        <w:t xml:space="preserve">, con fecha de </w:t>
      </w:r>
      <w:r w:rsidR="007F4EF5" w:rsidRPr="00ED2D41">
        <w:rPr>
          <w:rFonts w:ascii="Cambria" w:hAnsi="Cambria"/>
          <w:sz w:val="20"/>
          <w:szCs w:val="20"/>
          <w:lang w:val="es-ES"/>
        </w:rPr>
        <w:t>1</w:t>
      </w:r>
      <w:r w:rsidR="00BC6FD7" w:rsidRPr="00ED2D41">
        <w:rPr>
          <w:rFonts w:ascii="Cambria" w:hAnsi="Cambria"/>
          <w:sz w:val="20"/>
          <w:szCs w:val="20"/>
          <w:lang w:val="es-ES"/>
        </w:rPr>
        <w:t>3 de febrero de 2012</w:t>
      </w:r>
      <w:r w:rsidR="00A04BDF" w:rsidRPr="00ED2D41">
        <w:rPr>
          <w:rFonts w:ascii="Cambria" w:hAnsi="Cambria"/>
          <w:sz w:val="20"/>
          <w:szCs w:val="20"/>
          <w:lang w:val="es-ES"/>
        </w:rPr>
        <w:t xml:space="preserve">. Sostiene que la parte peticionaria </w:t>
      </w:r>
      <w:r w:rsidR="00BC6FD7" w:rsidRPr="00ED2D41">
        <w:rPr>
          <w:rFonts w:ascii="Cambria" w:hAnsi="Cambria"/>
          <w:sz w:val="20"/>
          <w:szCs w:val="20"/>
          <w:lang w:val="es-ES"/>
        </w:rPr>
        <w:t>se limitó a ejercer una acción de amparo constitucional cuando lo procedente era el recurso de casación, segundo los artículos 451 y siguientes del Código Orgánico Procesal Penal de V</w:t>
      </w:r>
      <w:r w:rsidR="00D10D7C" w:rsidRPr="00ED2D41">
        <w:rPr>
          <w:rFonts w:ascii="Cambria" w:hAnsi="Cambria"/>
          <w:sz w:val="20"/>
          <w:szCs w:val="20"/>
          <w:lang w:val="es-ES"/>
        </w:rPr>
        <w:t>enezuela. El peticionario no presenta alegatos a</w:t>
      </w:r>
      <w:r w:rsidR="00D71C47" w:rsidRPr="00ED2D41">
        <w:rPr>
          <w:rFonts w:ascii="Cambria" w:hAnsi="Cambria"/>
          <w:sz w:val="20"/>
          <w:szCs w:val="20"/>
          <w:lang w:val="es-ES"/>
        </w:rPr>
        <w:t>l</w:t>
      </w:r>
      <w:r w:rsidR="00D10D7C" w:rsidRPr="00ED2D41">
        <w:rPr>
          <w:rFonts w:ascii="Cambria" w:hAnsi="Cambria"/>
          <w:sz w:val="20"/>
          <w:szCs w:val="20"/>
          <w:lang w:val="es-ES"/>
        </w:rPr>
        <w:t xml:space="preserve"> respeto. </w:t>
      </w:r>
    </w:p>
    <w:p w14:paraId="0E1DD1C2" w14:textId="77777777" w:rsidR="00E8084B" w:rsidRPr="00ED2D41" w:rsidRDefault="00E8084B" w:rsidP="00F1512D">
      <w:pPr>
        <w:pStyle w:val="ListParagraph"/>
        <w:jc w:val="both"/>
        <w:rPr>
          <w:rFonts w:eastAsia="Arial Unicode MS" w:cs="Times New Roman"/>
          <w:color w:val="auto"/>
          <w:sz w:val="20"/>
          <w:szCs w:val="20"/>
          <w:lang w:val="es-ES" w:eastAsia="en-US"/>
        </w:rPr>
      </w:pPr>
    </w:p>
    <w:p w14:paraId="6E43120A" w14:textId="6A8F72B8" w:rsidR="00A47809" w:rsidRPr="00ED2D41" w:rsidRDefault="00D10D7C"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sz w:val="20"/>
          <w:szCs w:val="20"/>
          <w:lang w:val="es-ES_tradnl"/>
        </w:rPr>
      </w:pPr>
      <w:r w:rsidRPr="00ED2D41">
        <w:rPr>
          <w:rFonts w:asciiTheme="majorHAnsi" w:hAnsiTheme="majorHAnsi"/>
          <w:sz w:val="20"/>
          <w:szCs w:val="20"/>
          <w:lang w:val="es-ES"/>
        </w:rPr>
        <w:t>La Comisión observa que e</w:t>
      </w:r>
      <w:r w:rsidRPr="00ED2D41">
        <w:rPr>
          <w:rFonts w:asciiTheme="majorHAnsi" w:hAnsiTheme="majorHAnsi" w:cs="Calibri"/>
          <w:sz w:val="20"/>
          <w:szCs w:val="20"/>
          <w:lang w:val="es-ES"/>
        </w:rPr>
        <w:t xml:space="preserve">l requisito del previo agotamiento de los recursos internos tiene como objeto permitir que las autoridades nacionales conozcan sobre la supuesta violación de un derecho protegido y, de ser apropiado, solucionen la situación antes de que sea conocida por una instancia </w:t>
      </w:r>
      <w:r w:rsidRPr="00ED2D41">
        <w:rPr>
          <w:rFonts w:asciiTheme="majorHAnsi" w:hAnsiTheme="majorHAnsi" w:cs="Calibri"/>
          <w:sz w:val="20"/>
          <w:szCs w:val="20"/>
          <w:lang w:val="es-ES"/>
        </w:rPr>
        <w:lastRenderedPageBreak/>
        <w:t>internacional</w:t>
      </w:r>
      <w:r w:rsidRPr="00ED2D41">
        <w:rPr>
          <w:rStyle w:val="FootnoteReference"/>
          <w:rFonts w:asciiTheme="majorHAnsi" w:hAnsiTheme="majorHAnsi" w:cs="Calibri"/>
          <w:sz w:val="20"/>
          <w:szCs w:val="20"/>
          <w:lang w:val="es-ES"/>
        </w:rPr>
        <w:footnoteReference w:id="5"/>
      </w:r>
      <w:r w:rsidRPr="00ED2D41">
        <w:rPr>
          <w:rFonts w:asciiTheme="majorHAnsi" w:hAnsiTheme="majorHAnsi" w:cs="Calibri"/>
          <w:sz w:val="20"/>
          <w:szCs w:val="20"/>
          <w:lang w:val="es-ES"/>
        </w:rPr>
        <w:t>.</w:t>
      </w:r>
      <w:r w:rsidRPr="00ED2D41">
        <w:rPr>
          <w:rFonts w:asciiTheme="majorHAnsi" w:hAnsiTheme="majorHAnsi"/>
          <w:sz w:val="20"/>
          <w:szCs w:val="20"/>
          <w:lang w:val="es-ES"/>
        </w:rPr>
        <w:t xml:space="preserve"> </w:t>
      </w:r>
      <w:r w:rsidRPr="00ED2D41">
        <w:rPr>
          <w:rFonts w:ascii="Cambria" w:hAnsi="Cambria" w:cs="Calibri"/>
          <w:sz w:val="20"/>
          <w:szCs w:val="20"/>
          <w:lang w:val="es-ES_tradnl"/>
        </w:rPr>
        <w:t xml:space="preserve">El Estado por su parte, si bien invoca la falta de agotamiento de los recursos judiciales internos, no explica como el recurso de casación sería adecuado y efectivo, ni explica por qué habría sido necesario para los peticionarios el recurrir por vía de casación ante el </w:t>
      </w:r>
      <w:r w:rsidRPr="00ED2D41">
        <w:rPr>
          <w:rFonts w:ascii="Cambria" w:hAnsi="Cambria"/>
          <w:sz w:val="20"/>
          <w:szCs w:val="20"/>
          <w:lang w:val="es-ES"/>
        </w:rPr>
        <w:t xml:space="preserve">Sala de Casación Penal del Tribunal Supremo de Justicia </w:t>
      </w:r>
      <w:r w:rsidRPr="00ED2D41">
        <w:rPr>
          <w:rFonts w:ascii="Cambria" w:hAnsi="Cambria" w:cs="Calibri"/>
          <w:sz w:val="20"/>
          <w:szCs w:val="20"/>
          <w:lang w:val="es-ES_tradnl"/>
        </w:rPr>
        <w:t>como recurso idóneo en el contexto de los hechos denunciados</w:t>
      </w:r>
      <w:r w:rsidRPr="00ED2D41">
        <w:rPr>
          <w:rStyle w:val="FootnoteReference"/>
          <w:rFonts w:ascii="Cambria" w:hAnsi="Cambria" w:cs="Calibri"/>
          <w:sz w:val="20"/>
          <w:szCs w:val="20"/>
        </w:rPr>
        <w:footnoteReference w:id="6"/>
      </w:r>
      <w:r w:rsidRPr="00ED2D41">
        <w:rPr>
          <w:rFonts w:ascii="Cambria" w:hAnsi="Cambria" w:cs="Calibri"/>
          <w:sz w:val="20"/>
          <w:szCs w:val="20"/>
          <w:lang w:val="es-ES_tradnl"/>
        </w:rPr>
        <w:t xml:space="preserve">. </w:t>
      </w:r>
    </w:p>
    <w:p w14:paraId="02C4C821" w14:textId="2FD3A8BB" w:rsidR="00F1512D" w:rsidRDefault="00F1512D">
      <w:pPr>
        <w:rPr>
          <w:rFonts w:cs="Calibri"/>
          <w:sz w:val="20"/>
          <w:szCs w:val="20"/>
          <w:lang w:val="es-ES_tradnl"/>
        </w:rPr>
      </w:pPr>
    </w:p>
    <w:p w14:paraId="6432D153" w14:textId="17FD6B0B" w:rsidR="00A47809" w:rsidRPr="00ED2D41" w:rsidRDefault="00A47809"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_tradnl"/>
        </w:rPr>
      </w:pPr>
      <w:r w:rsidRPr="00ED2D41">
        <w:rPr>
          <w:rFonts w:ascii="Cambria" w:hAnsi="Cambria" w:cs="Calibri"/>
          <w:sz w:val="20"/>
          <w:szCs w:val="20"/>
          <w:lang w:val="es-ES_tradnl"/>
        </w:rPr>
        <w:t xml:space="preserve">Además, la CIDH toma nota de que el </w:t>
      </w:r>
      <w:r w:rsidR="00472E8C" w:rsidRPr="00ED2D41">
        <w:rPr>
          <w:rFonts w:ascii="Cambria" w:hAnsi="Cambria" w:cs="Calibri"/>
          <w:sz w:val="20"/>
          <w:szCs w:val="20"/>
          <w:lang w:val="es-ES_tradnl"/>
        </w:rPr>
        <w:t>recurso</w:t>
      </w:r>
      <w:r w:rsidRPr="00ED2D41">
        <w:rPr>
          <w:rFonts w:ascii="Cambria" w:hAnsi="Cambria" w:cs="Calibri"/>
          <w:sz w:val="20"/>
          <w:szCs w:val="20"/>
          <w:lang w:val="es-ES_tradnl"/>
        </w:rPr>
        <w:t xml:space="preserve"> de casación es un recurso </w:t>
      </w:r>
      <w:r w:rsidR="003457EF" w:rsidRPr="00ED2D41">
        <w:rPr>
          <w:rFonts w:ascii="Cambria" w:hAnsi="Cambria" w:cs="Calibri"/>
          <w:sz w:val="20"/>
          <w:szCs w:val="20"/>
          <w:lang w:val="es-ES_tradnl"/>
        </w:rPr>
        <w:t xml:space="preserve">extraordinario </w:t>
      </w:r>
      <w:r w:rsidRPr="00ED2D41">
        <w:rPr>
          <w:rFonts w:ascii="Cambria" w:hAnsi="Cambria" w:cs="Calibri"/>
          <w:sz w:val="20"/>
          <w:szCs w:val="20"/>
          <w:lang w:val="es-ES_tradnl"/>
        </w:rPr>
        <w:t>de car</w:t>
      </w:r>
      <w:r w:rsidR="00491FA4" w:rsidRPr="00ED2D41">
        <w:rPr>
          <w:rFonts w:ascii="Cambria" w:hAnsi="Cambria" w:cs="Calibri"/>
          <w:sz w:val="20"/>
          <w:szCs w:val="20"/>
          <w:lang w:val="es-ES_tradnl"/>
        </w:rPr>
        <w:t>ácter restringido</w:t>
      </w:r>
      <w:r w:rsidR="0060644C" w:rsidRPr="00ED2D41">
        <w:rPr>
          <w:rFonts w:ascii="Cambria" w:hAnsi="Cambria" w:cs="Calibri"/>
          <w:sz w:val="20"/>
          <w:szCs w:val="20"/>
          <w:lang w:val="es-ES_tradnl"/>
        </w:rPr>
        <w:t xml:space="preserve"> </w:t>
      </w:r>
      <w:r w:rsidR="00FA262A" w:rsidRPr="00ED2D41">
        <w:rPr>
          <w:rFonts w:ascii="Cambria" w:hAnsi="Cambria" w:cs="Calibri"/>
          <w:sz w:val="20"/>
          <w:szCs w:val="20"/>
          <w:lang w:val="es-ES_tradnl"/>
        </w:rPr>
        <w:t>cu</w:t>
      </w:r>
      <w:r w:rsidR="0060644C" w:rsidRPr="00ED2D41">
        <w:rPr>
          <w:rFonts w:ascii="Cambria" w:hAnsi="Cambria" w:cs="Calibri"/>
          <w:sz w:val="20"/>
          <w:szCs w:val="20"/>
          <w:lang w:val="es-ES_tradnl"/>
        </w:rPr>
        <w:t>y</w:t>
      </w:r>
      <w:r w:rsidR="00FA262A" w:rsidRPr="00ED2D41">
        <w:rPr>
          <w:rFonts w:ascii="Cambria" w:hAnsi="Cambria" w:cs="Calibri"/>
          <w:sz w:val="20"/>
          <w:szCs w:val="20"/>
          <w:lang w:val="es-ES_tradnl"/>
        </w:rPr>
        <w:t>a</w:t>
      </w:r>
      <w:r w:rsidR="00491FA4" w:rsidRPr="00ED2D41">
        <w:rPr>
          <w:rFonts w:ascii="Cambria" w:hAnsi="Cambria"/>
          <w:sz w:val="20"/>
          <w:szCs w:val="20"/>
          <w:lang w:val="es-VE"/>
        </w:rPr>
        <w:t xml:space="preserve"> finalidad es corregir los vicios o errores de derecho en que hubiera podido incurrir la sentencia accionada</w:t>
      </w:r>
      <w:r w:rsidR="00FA262A" w:rsidRPr="00ED2D41">
        <w:rPr>
          <w:rFonts w:ascii="Cambria" w:hAnsi="Cambria"/>
          <w:sz w:val="20"/>
          <w:szCs w:val="20"/>
          <w:lang w:val="es-VE"/>
        </w:rPr>
        <w:t xml:space="preserve">, </w:t>
      </w:r>
      <w:r w:rsidR="00491FA4" w:rsidRPr="00ED2D41">
        <w:rPr>
          <w:rFonts w:ascii="Cambria" w:hAnsi="Cambria"/>
          <w:sz w:val="20"/>
          <w:szCs w:val="20"/>
          <w:lang w:val="es-VE"/>
        </w:rPr>
        <w:t>asegurar la recta aplicación de la ley y preservar la uniformidad de la jurisprudencia</w:t>
      </w:r>
      <w:r w:rsidR="00491FA4" w:rsidRPr="00ED2D41">
        <w:rPr>
          <w:rStyle w:val="FootnoteReference"/>
          <w:rFonts w:ascii="Cambria" w:hAnsi="Cambria"/>
          <w:sz w:val="20"/>
          <w:szCs w:val="20"/>
          <w:lang w:val="es-VE"/>
        </w:rPr>
        <w:footnoteReference w:id="7"/>
      </w:r>
      <w:r w:rsidR="0060644C" w:rsidRPr="00ED2D41">
        <w:rPr>
          <w:rFonts w:ascii="Cambria" w:hAnsi="Cambria"/>
          <w:sz w:val="20"/>
          <w:szCs w:val="20"/>
          <w:lang w:val="es-VE"/>
        </w:rPr>
        <w:t>.</w:t>
      </w:r>
      <w:r w:rsidR="00491FA4" w:rsidRPr="00ED2D41">
        <w:rPr>
          <w:rFonts w:ascii="Cambria" w:hAnsi="Cambria"/>
          <w:sz w:val="20"/>
          <w:szCs w:val="20"/>
          <w:lang w:val="es-VE"/>
        </w:rPr>
        <w:t xml:space="preserve"> </w:t>
      </w:r>
      <w:r w:rsidR="0060644C" w:rsidRPr="00ED2D41">
        <w:rPr>
          <w:rFonts w:ascii="Cambria" w:hAnsi="Cambria"/>
          <w:sz w:val="20"/>
          <w:szCs w:val="20"/>
          <w:lang w:val="es-VE"/>
        </w:rPr>
        <w:t xml:space="preserve"> </w:t>
      </w:r>
      <w:r w:rsidR="0060644C" w:rsidRPr="00ED2D41">
        <w:rPr>
          <w:rFonts w:ascii="Cambria" w:hAnsi="Cambria" w:cs="Calibri"/>
          <w:sz w:val="20"/>
          <w:szCs w:val="20"/>
          <w:lang w:val="es-ES_tradnl"/>
        </w:rPr>
        <w:t>L</w:t>
      </w:r>
      <w:r w:rsidR="00AB23DF" w:rsidRPr="00ED2D41">
        <w:rPr>
          <w:rFonts w:ascii="Cambria" w:hAnsi="Cambria" w:cs="Calibri"/>
          <w:sz w:val="20"/>
          <w:szCs w:val="20"/>
          <w:lang w:val="es-ES_tradnl"/>
        </w:rPr>
        <w:t xml:space="preserve">a CIDH considera que el recurso de amparo agotado por la presunta víctima era el recurso adecuado para el caso. </w:t>
      </w:r>
      <w:bookmarkStart w:id="2" w:name="BM34_060_1"/>
      <w:bookmarkEnd w:id="2"/>
      <w:r w:rsidR="00AB23DF" w:rsidRPr="00ED2D41">
        <w:rPr>
          <w:rFonts w:ascii="Cambria" w:hAnsi="Cambria" w:cs="Calibri"/>
          <w:sz w:val="20"/>
          <w:szCs w:val="20"/>
          <w:lang w:val="es-ES_tradnl"/>
        </w:rPr>
        <w:t xml:space="preserve">La </w:t>
      </w:r>
      <w:r w:rsidRPr="00ED2D41">
        <w:rPr>
          <w:rFonts w:ascii="Cambria" w:hAnsi="Cambria"/>
          <w:sz w:val="20"/>
          <w:szCs w:val="20"/>
          <w:lang w:val="es-VE"/>
        </w:rPr>
        <w:t xml:space="preserve">Ley Orgánica de Amparo sobre Derechos y Garantías Constitucionales estipula en su artículo 1 que </w:t>
      </w:r>
      <w:r w:rsidR="00FA262A" w:rsidRPr="00ED2D41">
        <w:rPr>
          <w:rFonts w:ascii="Cambria" w:hAnsi="Cambria"/>
          <w:sz w:val="20"/>
          <w:szCs w:val="20"/>
          <w:lang w:val="es-VE"/>
        </w:rPr>
        <w:t>dicho</w:t>
      </w:r>
      <w:r w:rsidR="00AB23DF" w:rsidRPr="00ED2D41">
        <w:rPr>
          <w:rFonts w:ascii="Cambria" w:hAnsi="Cambria"/>
          <w:sz w:val="20"/>
          <w:szCs w:val="20"/>
          <w:lang w:val="es-VE"/>
        </w:rPr>
        <w:t xml:space="preserve"> recurso puede ser presentado para garantizar el </w:t>
      </w:r>
      <w:r w:rsidRPr="00ED2D41">
        <w:rPr>
          <w:rFonts w:ascii="Cambria" w:hAnsi="Cambria"/>
          <w:sz w:val="20"/>
          <w:szCs w:val="20"/>
          <w:lang w:val="es-VE"/>
        </w:rPr>
        <w:t xml:space="preserve">goce y el ejercicio de los derechos y garantías constitucionales, aun de aquellos derechos fundamentales de la persona humana que no figuren expresamente en la Constitución, con el propósito de que se restablezca inmediatamente la situación jurídica infringida o la situación que más se asemeje a ella. </w:t>
      </w:r>
      <w:r w:rsidRPr="00ED2D41">
        <w:rPr>
          <w:rFonts w:ascii="Cambria" w:hAnsi="Cambria"/>
          <w:sz w:val="20"/>
          <w:szCs w:val="20"/>
          <w:shd w:val="clear" w:color="auto" w:fill="FFFFFF"/>
          <w:lang w:val="es-VE"/>
        </w:rPr>
        <w:t>Asimismo, en su</w:t>
      </w:r>
      <w:r w:rsidR="00FA262A" w:rsidRPr="00ED2D41">
        <w:rPr>
          <w:rFonts w:ascii="Cambria" w:hAnsi="Cambria"/>
          <w:sz w:val="20"/>
          <w:szCs w:val="20"/>
          <w:shd w:val="clear" w:color="auto" w:fill="FFFFFF"/>
          <w:lang w:val="es-VE"/>
        </w:rPr>
        <w:t>s</w:t>
      </w:r>
      <w:r w:rsidRPr="00ED2D41">
        <w:rPr>
          <w:rFonts w:ascii="Cambria" w:hAnsi="Cambria"/>
          <w:sz w:val="20"/>
          <w:szCs w:val="20"/>
          <w:shd w:val="clear" w:color="auto" w:fill="FFFFFF"/>
          <w:lang w:val="es-VE"/>
        </w:rPr>
        <w:t xml:space="preserve"> artículo</w:t>
      </w:r>
      <w:r w:rsidR="00FA262A" w:rsidRPr="00ED2D41">
        <w:rPr>
          <w:rFonts w:ascii="Cambria" w:hAnsi="Cambria"/>
          <w:sz w:val="20"/>
          <w:szCs w:val="20"/>
          <w:shd w:val="clear" w:color="auto" w:fill="FFFFFF"/>
          <w:lang w:val="es-VE"/>
        </w:rPr>
        <w:t>s</w:t>
      </w:r>
      <w:r w:rsidRPr="00ED2D41">
        <w:rPr>
          <w:rFonts w:ascii="Cambria" w:hAnsi="Cambria"/>
          <w:sz w:val="20"/>
          <w:szCs w:val="20"/>
          <w:shd w:val="clear" w:color="auto" w:fill="FFFFFF"/>
          <w:lang w:val="es-VE"/>
        </w:rPr>
        <w:t xml:space="preserve"> 2 y 5, la</w:t>
      </w:r>
      <w:r w:rsidR="00AB23DF" w:rsidRPr="00ED2D41">
        <w:rPr>
          <w:rFonts w:ascii="Cambria" w:hAnsi="Cambria"/>
          <w:sz w:val="20"/>
          <w:szCs w:val="20"/>
          <w:shd w:val="clear" w:color="auto" w:fill="FFFFFF"/>
          <w:lang w:val="es-VE"/>
        </w:rPr>
        <w:t xml:space="preserve"> referida</w:t>
      </w:r>
      <w:r w:rsidRPr="00ED2D41">
        <w:rPr>
          <w:rFonts w:ascii="Cambria" w:hAnsi="Cambria"/>
          <w:sz w:val="20"/>
          <w:szCs w:val="20"/>
          <w:shd w:val="clear" w:color="auto" w:fill="FFFFFF"/>
          <w:lang w:val="es-VE"/>
        </w:rPr>
        <w:t xml:space="preserve"> </w:t>
      </w:r>
      <w:r w:rsidR="00AB23DF" w:rsidRPr="00ED2D41">
        <w:rPr>
          <w:rFonts w:ascii="Cambria" w:hAnsi="Cambria"/>
          <w:sz w:val="20"/>
          <w:szCs w:val="20"/>
          <w:shd w:val="clear" w:color="auto" w:fill="FFFFFF"/>
          <w:lang w:val="es-VE"/>
        </w:rPr>
        <w:t>L</w:t>
      </w:r>
      <w:r w:rsidRPr="00ED2D41">
        <w:rPr>
          <w:rFonts w:ascii="Cambria" w:hAnsi="Cambria"/>
          <w:sz w:val="20"/>
          <w:szCs w:val="20"/>
          <w:shd w:val="clear" w:color="auto" w:fill="FFFFFF"/>
          <w:lang w:val="es-VE"/>
        </w:rPr>
        <w:t xml:space="preserve">ey determina que el amparo procede </w:t>
      </w:r>
      <w:r w:rsidRPr="00ED2D41">
        <w:rPr>
          <w:rFonts w:ascii="Cambria" w:hAnsi="Cambria"/>
          <w:sz w:val="20"/>
          <w:szCs w:val="20"/>
          <w:lang w:val="es-VE"/>
        </w:rPr>
        <w:t>contra cualquier hecho, acto u omisión provenientes de los órganos del Poder Público Nacional, Estad</w:t>
      </w:r>
      <w:r w:rsidR="00FA262A" w:rsidRPr="00ED2D41">
        <w:rPr>
          <w:rFonts w:ascii="Cambria" w:hAnsi="Cambria"/>
          <w:sz w:val="20"/>
          <w:szCs w:val="20"/>
          <w:lang w:val="es-VE"/>
        </w:rPr>
        <w:t>u</w:t>
      </w:r>
      <w:r w:rsidRPr="00ED2D41">
        <w:rPr>
          <w:rFonts w:ascii="Cambria" w:hAnsi="Cambria"/>
          <w:sz w:val="20"/>
          <w:szCs w:val="20"/>
          <w:lang w:val="es-VE"/>
        </w:rPr>
        <w:t>al o Municipal; contra el hecho, acto u omisión originados por ciudadanos, personas jurídicas, grupos u organizaciones privadas que h</w:t>
      </w:r>
      <w:r w:rsidR="00FA262A" w:rsidRPr="00ED2D41">
        <w:rPr>
          <w:rFonts w:ascii="Cambria" w:hAnsi="Cambria"/>
          <w:sz w:val="20"/>
          <w:szCs w:val="20"/>
          <w:lang w:val="es-VE"/>
        </w:rPr>
        <w:t>ubieran</w:t>
      </w:r>
      <w:r w:rsidRPr="00ED2D41">
        <w:rPr>
          <w:rFonts w:ascii="Cambria" w:hAnsi="Cambria"/>
          <w:sz w:val="20"/>
          <w:szCs w:val="20"/>
          <w:lang w:val="es-VE"/>
        </w:rPr>
        <w:t xml:space="preserve"> violado, violen o amenacen violar cualquiera de las garantías o derechos amparados por esta Ley; y </w:t>
      </w:r>
      <w:r w:rsidRPr="00ED2D41">
        <w:rPr>
          <w:rFonts w:ascii="Cambria" w:hAnsi="Cambria"/>
          <w:sz w:val="20"/>
          <w:szCs w:val="20"/>
          <w:lang w:val="es-ES"/>
        </w:rPr>
        <w:t>contra todo acto administrativo</w:t>
      </w:r>
      <w:r w:rsidR="00FA262A" w:rsidRPr="00ED2D41">
        <w:rPr>
          <w:rFonts w:ascii="Cambria" w:hAnsi="Cambria"/>
          <w:sz w:val="20"/>
          <w:szCs w:val="20"/>
          <w:lang w:val="es-ES"/>
        </w:rPr>
        <w:t>,</w:t>
      </w:r>
      <w:r w:rsidRPr="00ED2D41">
        <w:rPr>
          <w:rFonts w:ascii="Cambria" w:hAnsi="Cambria"/>
          <w:sz w:val="20"/>
          <w:szCs w:val="20"/>
          <w:lang w:val="es-ES"/>
        </w:rPr>
        <w:t xml:space="preserve"> actuaciones materiales, vías de hecho, abstenciones u omisiones que violen o amenacen violar un derecho o una garantía constitucional, cuando no </w:t>
      </w:r>
      <w:r w:rsidR="00FA262A" w:rsidRPr="00ED2D41">
        <w:rPr>
          <w:rFonts w:ascii="Cambria" w:hAnsi="Cambria"/>
          <w:sz w:val="20"/>
          <w:szCs w:val="20"/>
          <w:lang w:val="es-ES"/>
        </w:rPr>
        <w:t>hubiera</w:t>
      </w:r>
      <w:r w:rsidRPr="00ED2D41">
        <w:rPr>
          <w:rFonts w:ascii="Cambria" w:hAnsi="Cambria"/>
          <w:sz w:val="20"/>
          <w:szCs w:val="20"/>
          <w:lang w:val="es-ES"/>
        </w:rPr>
        <w:t xml:space="preserve"> un medio procesal breve, sumario y eficaz acorde con la protección constitucional.</w:t>
      </w:r>
      <w:r w:rsidR="00AB23DF" w:rsidRPr="00ED2D41">
        <w:rPr>
          <w:rFonts w:ascii="Cambria" w:hAnsi="Cambria"/>
          <w:sz w:val="20"/>
          <w:szCs w:val="20"/>
          <w:lang w:val="es-ES"/>
        </w:rPr>
        <w:t xml:space="preserve"> En el presente caso, el peticionario buscaba cuestionar la imposibilidad de presentarse como abogado de la presunta víctima y representarlo ante el </w:t>
      </w:r>
      <w:r w:rsidR="00FA262A" w:rsidRPr="00ED2D41">
        <w:rPr>
          <w:rFonts w:ascii="Cambria" w:hAnsi="Cambria"/>
          <w:sz w:val="20"/>
          <w:szCs w:val="20"/>
          <w:lang w:val="es-ES"/>
        </w:rPr>
        <w:t>P</w:t>
      </w:r>
      <w:r w:rsidR="00AB23DF" w:rsidRPr="00ED2D41">
        <w:rPr>
          <w:rFonts w:ascii="Cambria" w:hAnsi="Cambria"/>
          <w:sz w:val="20"/>
          <w:szCs w:val="20"/>
          <w:lang w:val="es-ES"/>
        </w:rPr>
        <w:t xml:space="preserve">oder </w:t>
      </w:r>
      <w:r w:rsidR="00FA262A" w:rsidRPr="00ED2D41">
        <w:rPr>
          <w:rFonts w:ascii="Cambria" w:hAnsi="Cambria"/>
          <w:sz w:val="20"/>
          <w:szCs w:val="20"/>
          <w:lang w:val="es-ES"/>
        </w:rPr>
        <w:t>J</w:t>
      </w:r>
      <w:r w:rsidR="00AB23DF" w:rsidRPr="00ED2D41">
        <w:rPr>
          <w:rFonts w:ascii="Cambria" w:hAnsi="Cambria"/>
          <w:sz w:val="20"/>
          <w:szCs w:val="20"/>
          <w:lang w:val="es-ES"/>
        </w:rPr>
        <w:t>udicia</w:t>
      </w:r>
      <w:r w:rsidR="00FA262A" w:rsidRPr="00ED2D41">
        <w:rPr>
          <w:rFonts w:ascii="Cambria" w:hAnsi="Cambria"/>
          <w:sz w:val="20"/>
          <w:szCs w:val="20"/>
          <w:lang w:val="es-ES"/>
        </w:rPr>
        <w:t>l</w:t>
      </w:r>
      <w:r w:rsidR="00AB23DF" w:rsidRPr="00ED2D41">
        <w:rPr>
          <w:rFonts w:ascii="Cambria" w:hAnsi="Cambria"/>
          <w:sz w:val="20"/>
          <w:szCs w:val="20"/>
          <w:lang w:val="es-ES"/>
        </w:rPr>
        <w:t xml:space="preserve"> de Venezuela, razón por la cual hizo uso del recurso de amparo.</w:t>
      </w:r>
    </w:p>
    <w:p w14:paraId="1BD0C0CD" w14:textId="77777777" w:rsidR="00A47809" w:rsidRPr="00ED2D41" w:rsidRDefault="00A47809"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
        </w:rPr>
      </w:pPr>
    </w:p>
    <w:p w14:paraId="0DA07228" w14:textId="62C0F66A" w:rsidR="007D07FE" w:rsidRDefault="00FB47E5"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_tradnl"/>
        </w:rPr>
      </w:pPr>
      <w:r w:rsidRPr="00ED2D41">
        <w:rPr>
          <w:rFonts w:ascii="Cambria" w:hAnsi="Cambria" w:cs="Calibri"/>
          <w:sz w:val="20"/>
          <w:szCs w:val="20"/>
          <w:lang w:val="es-ES"/>
        </w:rPr>
        <w:t>Por lo tanto, l</w:t>
      </w:r>
      <w:r w:rsidR="00D10D7C" w:rsidRPr="00ED2D41">
        <w:rPr>
          <w:rFonts w:ascii="Cambria" w:hAnsi="Cambria" w:cs="Calibri"/>
          <w:sz w:val="20"/>
          <w:szCs w:val="20"/>
          <w:lang w:val="es-ES_tradnl"/>
        </w:rPr>
        <w:t>a Comisión Interamericana considera que los recursos internos quedaron definitivamente agotados con la decisión de</w:t>
      </w:r>
      <w:r w:rsidR="009400BF" w:rsidRPr="00ED2D41">
        <w:rPr>
          <w:rFonts w:ascii="Cambria" w:hAnsi="Cambria" w:cs="Calibri"/>
          <w:sz w:val="20"/>
          <w:szCs w:val="20"/>
          <w:lang w:val="es-ES_tradnl"/>
        </w:rPr>
        <w:t>l Tribunal Supremo de Justicia de Venezuela del 3</w:t>
      </w:r>
      <w:r w:rsidR="00D10D7C" w:rsidRPr="00ED2D41">
        <w:rPr>
          <w:rFonts w:ascii="Cambria" w:hAnsi="Cambria" w:cs="Calibri"/>
          <w:sz w:val="20"/>
          <w:szCs w:val="20"/>
          <w:lang w:val="es-ES_tradnl"/>
        </w:rPr>
        <w:t xml:space="preserve"> de </w:t>
      </w:r>
      <w:r w:rsidR="009400BF" w:rsidRPr="00ED2D41">
        <w:rPr>
          <w:rFonts w:ascii="Cambria" w:hAnsi="Cambria" w:cs="Calibri"/>
          <w:sz w:val="20"/>
          <w:szCs w:val="20"/>
          <w:lang w:val="es-ES_tradnl"/>
        </w:rPr>
        <w:t>agosto</w:t>
      </w:r>
      <w:r w:rsidR="00D10D7C" w:rsidRPr="00ED2D41">
        <w:rPr>
          <w:rFonts w:ascii="Cambria" w:hAnsi="Cambria" w:cs="Calibri"/>
          <w:sz w:val="20"/>
          <w:szCs w:val="20"/>
          <w:lang w:val="es-ES_tradnl"/>
        </w:rPr>
        <w:t xml:space="preserve"> de </w:t>
      </w:r>
      <w:r w:rsidR="009400BF" w:rsidRPr="00ED2D41">
        <w:rPr>
          <w:rFonts w:ascii="Cambria" w:hAnsi="Cambria" w:cs="Calibri"/>
          <w:sz w:val="20"/>
          <w:szCs w:val="20"/>
          <w:lang w:val="es-ES_tradnl"/>
        </w:rPr>
        <w:t>2012</w:t>
      </w:r>
      <w:r w:rsidR="00D10D7C" w:rsidRPr="00ED2D41">
        <w:rPr>
          <w:rFonts w:ascii="Cambria" w:hAnsi="Cambria" w:cs="Calibri"/>
          <w:sz w:val="20"/>
          <w:szCs w:val="20"/>
          <w:lang w:val="es-ES_tradnl"/>
        </w:rPr>
        <w:t xml:space="preserve">, mediante la cual este máximo tribunal decidió no examinar el expediente de </w:t>
      </w:r>
      <w:r w:rsidR="009400BF" w:rsidRPr="00ED2D41">
        <w:rPr>
          <w:rFonts w:ascii="Cambria" w:hAnsi="Cambria" w:cs="Calibri"/>
          <w:sz w:val="20"/>
          <w:szCs w:val="20"/>
          <w:lang w:val="es-ES_tradnl"/>
        </w:rPr>
        <w:t xml:space="preserve">amparo </w:t>
      </w:r>
      <w:r w:rsidR="00D10D7C" w:rsidRPr="00ED2D41">
        <w:rPr>
          <w:rFonts w:ascii="Cambria" w:hAnsi="Cambria" w:cs="Calibri"/>
          <w:sz w:val="20"/>
          <w:szCs w:val="20"/>
          <w:lang w:val="es-ES_tradnl"/>
        </w:rPr>
        <w:t xml:space="preserve">correspondiente al caso de la presunta víctima. </w:t>
      </w:r>
      <w:r w:rsidR="00FA262A" w:rsidRPr="00ED2D41">
        <w:rPr>
          <w:rFonts w:ascii="Cambria" w:hAnsi="Cambria" w:cs="Calibri"/>
          <w:sz w:val="20"/>
          <w:szCs w:val="20"/>
          <w:lang w:val="es-ES_tradnl"/>
        </w:rPr>
        <w:t>La</w:t>
      </w:r>
      <w:r w:rsidR="00D10D7C" w:rsidRPr="00ED2D41">
        <w:rPr>
          <w:rFonts w:ascii="Cambria" w:hAnsi="Cambria" w:cs="Calibri"/>
          <w:sz w:val="20"/>
          <w:szCs w:val="20"/>
          <w:lang w:val="es-ES_tradnl"/>
        </w:rPr>
        <w:t xml:space="preserve"> petición fue recibida por la Comisión el </w:t>
      </w:r>
      <w:r w:rsidR="009400BF" w:rsidRPr="00ED2D41">
        <w:rPr>
          <w:rFonts w:ascii="Cambria" w:hAnsi="Cambria" w:cs="Calibri"/>
          <w:sz w:val="20"/>
          <w:szCs w:val="20"/>
          <w:lang w:val="es-ES_tradnl"/>
        </w:rPr>
        <w:t>27</w:t>
      </w:r>
      <w:r w:rsidR="00D10D7C" w:rsidRPr="00ED2D41">
        <w:rPr>
          <w:rFonts w:ascii="Cambria" w:hAnsi="Cambria" w:cs="Calibri"/>
          <w:sz w:val="20"/>
          <w:szCs w:val="20"/>
          <w:lang w:val="es-ES_tradnl"/>
        </w:rPr>
        <w:t xml:space="preserve"> de </w:t>
      </w:r>
      <w:r w:rsidR="009400BF" w:rsidRPr="00ED2D41">
        <w:rPr>
          <w:rFonts w:ascii="Cambria" w:hAnsi="Cambria" w:cs="Calibri"/>
          <w:sz w:val="20"/>
          <w:szCs w:val="20"/>
          <w:lang w:val="es-ES_tradnl"/>
        </w:rPr>
        <w:t>agosto de 2012</w:t>
      </w:r>
      <w:r w:rsidR="00D10D7C" w:rsidRPr="00ED2D41">
        <w:rPr>
          <w:rFonts w:ascii="Cambria" w:hAnsi="Cambria" w:cs="Calibri"/>
          <w:sz w:val="20"/>
          <w:szCs w:val="20"/>
          <w:lang w:val="es-ES_tradnl"/>
        </w:rPr>
        <w:t xml:space="preserve">, dentro de los seis meses siguientes a la emisión de la referida decisión judicial, </w:t>
      </w:r>
      <w:r w:rsidR="00FA262A" w:rsidRPr="00ED2D41">
        <w:rPr>
          <w:rFonts w:ascii="Cambria" w:hAnsi="Cambria" w:cs="Calibri"/>
          <w:sz w:val="20"/>
          <w:szCs w:val="20"/>
          <w:lang w:val="es-ES_tradnl"/>
        </w:rPr>
        <w:t xml:space="preserve">por lo que </w:t>
      </w:r>
      <w:r w:rsidR="00D10D7C" w:rsidRPr="00ED2D41">
        <w:rPr>
          <w:rFonts w:ascii="Cambria" w:hAnsi="Cambria" w:cs="Calibri"/>
          <w:sz w:val="20"/>
          <w:szCs w:val="20"/>
          <w:lang w:val="es-ES_tradnl"/>
        </w:rPr>
        <w:t>la misma cumple con los requisitos de admisibilidad establecidos en los artículos 46.1.a y 46.1.b de la Convención Americana</w:t>
      </w:r>
      <w:r w:rsidR="00D10D7C" w:rsidRPr="00ED2D41">
        <w:rPr>
          <w:rStyle w:val="FootnoteReference"/>
          <w:rFonts w:ascii="Cambria" w:hAnsi="Cambria" w:cs="Calibri"/>
          <w:sz w:val="20"/>
          <w:szCs w:val="20"/>
        </w:rPr>
        <w:footnoteReference w:id="8"/>
      </w:r>
      <w:r w:rsidR="00D10D7C" w:rsidRPr="00ED2D41">
        <w:rPr>
          <w:rFonts w:ascii="Cambria" w:hAnsi="Cambria" w:cs="Calibri"/>
          <w:sz w:val="20"/>
          <w:szCs w:val="20"/>
          <w:lang w:val="es-ES_tradnl"/>
        </w:rPr>
        <w:t>.</w:t>
      </w:r>
    </w:p>
    <w:p w14:paraId="1FBA3A59" w14:textId="19C29D2E" w:rsidR="00F1512D" w:rsidRPr="00ED2D41"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_tradnl"/>
        </w:rPr>
      </w:pPr>
    </w:p>
    <w:p w14:paraId="7090A929" w14:textId="115AB145" w:rsidR="00F04591" w:rsidRPr="00006B74" w:rsidRDefault="00F04591" w:rsidP="00F1512D">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09AD0B19" w14:textId="77777777" w:rsidR="00E25361" w:rsidRPr="00E25361" w:rsidRDefault="00E25361"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jc w:val="both"/>
        <w:rPr>
          <w:rFonts w:ascii="Cambria" w:hAnsi="Cambria"/>
          <w:b/>
          <w:bCs/>
          <w:color w:val="FF0000"/>
          <w:sz w:val="20"/>
          <w:szCs w:val="20"/>
          <w:lang w:val="es-ES"/>
        </w:rPr>
      </w:pPr>
    </w:p>
    <w:p w14:paraId="3F988708" w14:textId="37E07229" w:rsidR="00475136" w:rsidRPr="00ED2D41" w:rsidRDefault="00A04BDF"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sz w:val="20"/>
          <w:szCs w:val="20"/>
          <w:lang w:val="es-ES"/>
        </w:rPr>
      </w:pPr>
      <w:r w:rsidRPr="00ED2D41">
        <w:rPr>
          <w:rFonts w:ascii="Cambria" w:hAnsi="Cambria"/>
          <w:sz w:val="20"/>
          <w:szCs w:val="20"/>
          <w:lang w:val="es-ES"/>
        </w:rPr>
        <w:t>La Comisión observa que la presente petición incluye alega</w:t>
      </w:r>
      <w:r w:rsidR="00472E8C" w:rsidRPr="00ED2D41">
        <w:rPr>
          <w:rFonts w:ascii="Cambria" w:hAnsi="Cambria"/>
          <w:sz w:val="20"/>
          <w:szCs w:val="20"/>
          <w:lang w:val="es-ES"/>
        </w:rPr>
        <w:t>tos</w:t>
      </w:r>
      <w:r w:rsidRPr="00ED2D41">
        <w:rPr>
          <w:rFonts w:ascii="Cambria" w:hAnsi="Cambria"/>
          <w:sz w:val="20"/>
          <w:szCs w:val="20"/>
          <w:lang w:val="es-ES"/>
        </w:rPr>
        <w:t xml:space="preserve"> respecto a la </w:t>
      </w:r>
      <w:r w:rsidR="005A5F95" w:rsidRPr="00ED2D41">
        <w:rPr>
          <w:rFonts w:ascii="Cambria" w:hAnsi="Cambria"/>
          <w:sz w:val="20"/>
          <w:szCs w:val="20"/>
          <w:lang w:val="es-ES"/>
        </w:rPr>
        <w:t>imposibilidad de la presunta víctima designar su representación judicial en un proceso penal en su contra y al hecho de que la presunta víctima no fue oída en un proceso sobre sus derechos</w:t>
      </w:r>
      <w:r w:rsidRPr="00ED2D41">
        <w:rPr>
          <w:rFonts w:ascii="Cambria" w:hAnsi="Cambria" w:cs="Calibri"/>
          <w:sz w:val="20"/>
          <w:szCs w:val="20"/>
          <w:lang w:val="es-ES"/>
        </w:rPr>
        <w:t>.</w:t>
      </w:r>
      <w:r w:rsidR="005A5F95" w:rsidRPr="00ED2D41">
        <w:rPr>
          <w:rFonts w:ascii="Cambria" w:hAnsi="Cambria" w:cs="Calibri"/>
          <w:sz w:val="20"/>
          <w:szCs w:val="20"/>
          <w:lang w:val="es-ES"/>
        </w:rPr>
        <w:t xml:space="preserve"> Asimismo, la CIDH observa que la petición indica la alegada violación de la libertad personal de la presunta víctima debido a un orden d</w:t>
      </w:r>
      <w:r w:rsidR="004E7652" w:rsidRPr="00ED2D41">
        <w:rPr>
          <w:rFonts w:ascii="Cambria" w:hAnsi="Cambria" w:cs="Calibri"/>
          <w:sz w:val="20"/>
          <w:szCs w:val="20"/>
          <w:lang w:val="es-ES"/>
        </w:rPr>
        <w:t>e detención que</w:t>
      </w:r>
      <w:r w:rsidR="00ED2D41" w:rsidRPr="00ED2D41">
        <w:rPr>
          <w:rFonts w:ascii="Cambria" w:hAnsi="Cambria" w:cs="Calibri"/>
          <w:sz w:val="20"/>
          <w:szCs w:val="20"/>
          <w:lang w:val="es-ES"/>
        </w:rPr>
        <w:t xml:space="preserve"> </w:t>
      </w:r>
      <w:r w:rsidR="003457EF" w:rsidRPr="00ED2D41">
        <w:rPr>
          <w:rFonts w:ascii="Cambria" w:hAnsi="Cambria" w:cs="Calibri"/>
          <w:sz w:val="20"/>
          <w:szCs w:val="20"/>
          <w:lang w:val="es-ES"/>
        </w:rPr>
        <w:t xml:space="preserve">fue expedida sin las debidas garantías. </w:t>
      </w:r>
      <w:r w:rsidR="00573392">
        <w:rPr>
          <w:rFonts w:ascii="Cambria" w:hAnsi="Cambria" w:cs="Calibri"/>
          <w:sz w:val="20"/>
          <w:szCs w:val="20"/>
          <w:lang w:val="es-ES"/>
        </w:rPr>
        <w:t xml:space="preserve">En la petición se alega asimismo que existió una persecución política en contra de la presunta </w:t>
      </w:r>
      <w:r w:rsidR="00F1512D">
        <w:rPr>
          <w:rFonts w:ascii="Cambria" w:hAnsi="Cambria" w:cs="Calibri"/>
          <w:sz w:val="20"/>
          <w:szCs w:val="20"/>
          <w:lang w:val="es-ES"/>
        </w:rPr>
        <w:t>víctima</w:t>
      </w:r>
      <w:r w:rsidR="00573392">
        <w:rPr>
          <w:rFonts w:ascii="Cambria" w:hAnsi="Cambria" w:cs="Calibri"/>
          <w:sz w:val="20"/>
          <w:szCs w:val="20"/>
          <w:lang w:val="es-ES"/>
        </w:rPr>
        <w:t>.</w:t>
      </w:r>
    </w:p>
    <w:p w14:paraId="6025BB3D" w14:textId="77777777" w:rsidR="00475136" w:rsidRPr="00ED2D41" w:rsidRDefault="00475136" w:rsidP="00F1512D">
      <w:pPr>
        <w:pStyle w:val="ListParagraph"/>
        <w:rPr>
          <w:color w:val="auto"/>
          <w:sz w:val="20"/>
          <w:szCs w:val="20"/>
          <w:lang w:val="es-ES"/>
        </w:rPr>
      </w:pPr>
    </w:p>
    <w:p w14:paraId="7BC88263" w14:textId="37AB5A14" w:rsidR="00475136" w:rsidRPr="00ED2D41" w:rsidRDefault="00A04BDF" w:rsidP="00F15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sz w:val="20"/>
          <w:szCs w:val="20"/>
          <w:lang w:val="es-ES"/>
        </w:rPr>
      </w:pPr>
      <w:r w:rsidRPr="00ED2D41">
        <w:rPr>
          <w:rFonts w:ascii="Cambria" w:hAnsi="Cambria"/>
          <w:sz w:val="20"/>
          <w:szCs w:val="20"/>
          <w:lang w:val="es-ES"/>
        </w:rPr>
        <w:t>En atención a estas consideraciones</w:t>
      </w:r>
      <w:r w:rsidR="00472E8C" w:rsidRPr="00ED2D41">
        <w:rPr>
          <w:rFonts w:ascii="Cambria" w:hAnsi="Cambria"/>
          <w:sz w:val="20"/>
          <w:szCs w:val="20"/>
          <w:lang w:val="es-ES"/>
        </w:rPr>
        <w:t>,</w:t>
      </w:r>
      <w:r w:rsidRPr="00ED2D41">
        <w:rPr>
          <w:rFonts w:ascii="Cambria" w:hAnsi="Cambria"/>
          <w:sz w:val="20"/>
          <w:szCs w:val="20"/>
          <w:lang w:val="es-ES"/>
        </w:rPr>
        <w:t xml:space="preserve"> y tras examinar los elementos de hecho y de derecho expuestos por las partes</w:t>
      </w:r>
      <w:r w:rsidR="00472E8C" w:rsidRPr="00ED2D41">
        <w:rPr>
          <w:rFonts w:ascii="Cambria" w:hAnsi="Cambria"/>
          <w:sz w:val="20"/>
          <w:szCs w:val="20"/>
          <w:lang w:val="es-ES"/>
        </w:rPr>
        <w:t>,</w:t>
      </w:r>
      <w:r w:rsidRPr="00ED2D41">
        <w:rPr>
          <w:rFonts w:ascii="Cambria" w:hAnsi="Cambria"/>
          <w:sz w:val="20"/>
          <w:szCs w:val="20"/>
          <w:lang w:val="es-ES"/>
        </w:rPr>
        <w:t xml:space="preserve"> la Comisión estima que l</w:t>
      </w:r>
      <w:r w:rsidR="00472E8C" w:rsidRPr="00ED2D41">
        <w:rPr>
          <w:rFonts w:ascii="Cambria" w:hAnsi="Cambria"/>
          <w:sz w:val="20"/>
          <w:szCs w:val="20"/>
          <w:lang w:val="es-ES"/>
        </w:rPr>
        <w:t>os alegatos</w:t>
      </w:r>
      <w:r w:rsidRPr="00ED2D41">
        <w:rPr>
          <w:rFonts w:ascii="Cambria" w:hAnsi="Cambria"/>
          <w:sz w:val="20"/>
          <w:szCs w:val="20"/>
          <w:lang w:val="es-ES"/>
        </w:rPr>
        <w:t xml:space="preserve"> de la parte peticionaria no resultan manifiestamente infundad</w:t>
      </w:r>
      <w:r w:rsidR="00472E8C" w:rsidRPr="00ED2D41">
        <w:rPr>
          <w:rFonts w:ascii="Cambria" w:hAnsi="Cambria"/>
          <w:sz w:val="20"/>
          <w:szCs w:val="20"/>
          <w:lang w:val="es-ES"/>
        </w:rPr>
        <w:t>o</w:t>
      </w:r>
      <w:r w:rsidRPr="00ED2D41">
        <w:rPr>
          <w:rFonts w:ascii="Cambria" w:hAnsi="Cambria"/>
          <w:sz w:val="20"/>
          <w:szCs w:val="20"/>
          <w:lang w:val="es-ES"/>
        </w:rPr>
        <w:t>s y requieren un estudio de fondo pues los hechos, de corroborarse como ciertos</w:t>
      </w:r>
      <w:r w:rsidR="00FA262A" w:rsidRPr="00ED2D41">
        <w:rPr>
          <w:rFonts w:ascii="Cambria" w:hAnsi="Cambria"/>
          <w:sz w:val="20"/>
          <w:szCs w:val="20"/>
          <w:lang w:val="es-ES"/>
        </w:rPr>
        <w:t>,</w:t>
      </w:r>
      <w:r w:rsidRPr="00ED2D41">
        <w:rPr>
          <w:rFonts w:ascii="Cambria" w:hAnsi="Cambria"/>
          <w:sz w:val="20"/>
          <w:szCs w:val="20"/>
          <w:lang w:val="es-ES"/>
        </w:rPr>
        <w:t xml:space="preserve"> </w:t>
      </w:r>
      <w:r w:rsidRPr="00ED2D41">
        <w:rPr>
          <w:rFonts w:ascii="Cambria" w:hAnsi="Cambria"/>
          <w:sz w:val="20"/>
          <w:szCs w:val="20"/>
          <w:lang w:val="es-ES"/>
        </w:rPr>
        <w:lastRenderedPageBreak/>
        <w:t xml:space="preserve">podrían caracterizar violación al </w:t>
      </w:r>
      <w:r w:rsidRPr="00ED2D41">
        <w:rPr>
          <w:rFonts w:ascii="Cambria" w:hAnsi="Cambria" w:cs="Calibri"/>
          <w:sz w:val="20"/>
          <w:szCs w:val="20"/>
          <w:lang w:val="es-ES"/>
        </w:rPr>
        <w:t xml:space="preserve">artículo </w:t>
      </w:r>
      <w:r w:rsidRPr="00ED2D41">
        <w:rPr>
          <w:rFonts w:ascii="Cambria" w:hAnsi="Cambria"/>
          <w:bCs/>
          <w:sz w:val="20"/>
          <w:szCs w:val="20"/>
          <w:lang w:val="es-ES"/>
        </w:rPr>
        <w:t>8 (garantías judiciales) de la Convención Americana, con relación a su artículo 1.1</w:t>
      </w:r>
      <w:r w:rsidR="005A5F95" w:rsidRPr="00ED2D41">
        <w:rPr>
          <w:rFonts w:ascii="Cambria" w:hAnsi="Cambria"/>
          <w:bCs/>
          <w:sz w:val="20"/>
          <w:szCs w:val="20"/>
          <w:lang w:val="es-ES"/>
        </w:rPr>
        <w:t xml:space="preserve"> (obligación de respetar los derechos)</w:t>
      </w:r>
      <w:r w:rsidRPr="00ED2D41">
        <w:rPr>
          <w:rFonts w:ascii="Cambria" w:hAnsi="Cambria"/>
          <w:bCs/>
          <w:sz w:val="20"/>
          <w:szCs w:val="20"/>
          <w:lang w:val="es-ES"/>
        </w:rPr>
        <w:t>.</w:t>
      </w:r>
      <w:r w:rsidRPr="00ED2D41">
        <w:rPr>
          <w:rFonts w:asciiTheme="majorHAnsi" w:hAnsiTheme="majorHAnsi"/>
          <w:sz w:val="20"/>
          <w:szCs w:val="20"/>
          <w:lang w:val="es-ES"/>
        </w:rPr>
        <w:t xml:space="preserve"> </w:t>
      </w:r>
      <w:r w:rsidR="00475136" w:rsidRPr="00ED2D41">
        <w:rPr>
          <w:rFonts w:ascii="Cambria" w:hAnsi="Cambria"/>
          <w:sz w:val="20"/>
          <w:szCs w:val="20"/>
          <w:lang w:val="es-ES"/>
        </w:rPr>
        <w:t xml:space="preserve"> </w:t>
      </w:r>
      <w:r w:rsidR="00373E79" w:rsidRPr="00ED2D41">
        <w:rPr>
          <w:rFonts w:ascii="Cambria" w:hAnsi="Cambria"/>
          <w:sz w:val="20"/>
          <w:szCs w:val="20"/>
          <w:lang w:val="es-ES"/>
        </w:rPr>
        <w:t xml:space="preserve">Con relación a los alegatos del Estado de que el objeto de la petición es infundado </w:t>
      </w:r>
      <w:r w:rsidR="00FA262A" w:rsidRPr="00ED2D41">
        <w:rPr>
          <w:rFonts w:ascii="Cambria" w:hAnsi="Cambria"/>
          <w:sz w:val="20"/>
          <w:szCs w:val="20"/>
          <w:lang w:val="es-ES"/>
        </w:rPr>
        <w:t>porque</w:t>
      </w:r>
      <w:r w:rsidR="00373E79" w:rsidRPr="00ED2D41">
        <w:rPr>
          <w:rFonts w:ascii="Cambria" w:hAnsi="Cambria"/>
          <w:sz w:val="20"/>
          <w:szCs w:val="20"/>
          <w:lang w:val="es-ES"/>
        </w:rPr>
        <w:t xml:space="preserve"> la presunta víctima se encontraba prófuga de la justicia y que su representante </w:t>
      </w:r>
      <w:r w:rsidR="00FA262A" w:rsidRPr="00ED2D41">
        <w:rPr>
          <w:rFonts w:ascii="Cambria" w:hAnsi="Cambria"/>
          <w:sz w:val="20"/>
          <w:szCs w:val="20"/>
          <w:lang w:val="es-ES"/>
        </w:rPr>
        <w:t>no presentó</w:t>
      </w:r>
      <w:r w:rsidR="00373E79" w:rsidRPr="00ED2D41">
        <w:rPr>
          <w:rFonts w:ascii="Cambria" w:hAnsi="Cambria"/>
          <w:sz w:val="20"/>
          <w:szCs w:val="20"/>
          <w:lang w:val="es-ES"/>
        </w:rPr>
        <w:t xml:space="preserve"> los documentos necesarios para que se le aceptara como tal, la CIDH </w:t>
      </w:r>
      <w:r w:rsidR="00FA262A" w:rsidRPr="00ED2D41">
        <w:rPr>
          <w:rFonts w:ascii="Cambria" w:hAnsi="Cambria"/>
          <w:sz w:val="20"/>
          <w:szCs w:val="20"/>
          <w:lang w:val="es-ES"/>
        </w:rPr>
        <w:t>observa</w:t>
      </w:r>
      <w:r w:rsidR="00373E79" w:rsidRPr="00ED2D41">
        <w:rPr>
          <w:rFonts w:ascii="Cambria" w:hAnsi="Cambria"/>
          <w:sz w:val="20"/>
          <w:szCs w:val="20"/>
          <w:lang w:val="es-ES"/>
        </w:rPr>
        <w:t xml:space="preserve"> que </w:t>
      </w:r>
      <w:r w:rsidR="003457EF" w:rsidRPr="00ED2D41">
        <w:rPr>
          <w:rFonts w:ascii="Cambria" w:hAnsi="Cambria"/>
          <w:sz w:val="20"/>
          <w:szCs w:val="20"/>
          <w:lang w:val="es-ES"/>
        </w:rPr>
        <w:t>se trata de un análisis que excede la etapa de admisibilidad y que por lo tanto será analizada en la etapa de fondo.</w:t>
      </w:r>
      <w:r w:rsidR="00373E79" w:rsidRPr="00ED2D41">
        <w:rPr>
          <w:rFonts w:ascii="Cambria" w:eastAsia="Times New Roman" w:hAnsi="Cambria"/>
          <w:sz w:val="20"/>
          <w:szCs w:val="20"/>
          <w:lang w:val="es-VE"/>
        </w:rPr>
        <w:t xml:space="preserve"> </w:t>
      </w:r>
    </w:p>
    <w:p w14:paraId="0C68E4D9" w14:textId="77777777" w:rsidR="00A01D01" w:rsidRPr="00ED2D41" w:rsidRDefault="00A01D01"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jc w:val="both"/>
        <w:rPr>
          <w:rFonts w:ascii="Cambria" w:hAnsi="Cambria"/>
          <w:sz w:val="20"/>
          <w:szCs w:val="20"/>
          <w:lang w:val="es-ES"/>
        </w:rPr>
      </w:pPr>
    </w:p>
    <w:p w14:paraId="5D22D694" w14:textId="77777777" w:rsidR="00475136" w:rsidRPr="00ED2D41" w:rsidRDefault="00475136"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jc w:val="both"/>
        <w:rPr>
          <w:rFonts w:ascii="Cambria" w:hAnsi="Cambria"/>
          <w:sz w:val="20"/>
          <w:szCs w:val="20"/>
          <w:lang w:val="es-ES"/>
        </w:rPr>
      </w:pPr>
    </w:p>
    <w:p w14:paraId="29BB41F5" w14:textId="13E06935" w:rsidR="003239B8" w:rsidRDefault="00EC72AB"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ED2D41">
        <w:rPr>
          <w:rFonts w:asciiTheme="majorHAnsi" w:hAnsiTheme="majorHAnsi"/>
          <w:b/>
          <w:bCs/>
          <w:sz w:val="20"/>
          <w:szCs w:val="20"/>
          <w:lang w:val="es-ES"/>
        </w:rPr>
        <w:t>VI</w:t>
      </w:r>
      <w:r w:rsidR="00F04591" w:rsidRPr="00ED2D41">
        <w:rPr>
          <w:rFonts w:asciiTheme="majorHAnsi" w:hAnsiTheme="majorHAnsi"/>
          <w:b/>
          <w:bCs/>
          <w:sz w:val="20"/>
          <w:szCs w:val="20"/>
          <w:lang w:val="es-ES"/>
        </w:rPr>
        <w:t>II</w:t>
      </w:r>
      <w:r w:rsidR="003239B8" w:rsidRPr="00ED2D41">
        <w:rPr>
          <w:rFonts w:asciiTheme="majorHAnsi" w:hAnsiTheme="majorHAnsi"/>
          <w:b/>
          <w:bCs/>
          <w:sz w:val="20"/>
          <w:szCs w:val="20"/>
          <w:lang w:val="es-ES"/>
        </w:rPr>
        <w:t xml:space="preserve">. </w:t>
      </w:r>
      <w:r w:rsidR="003239B8" w:rsidRPr="00ED2D41">
        <w:rPr>
          <w:rFonts w:asciiTheme="majorHAnsi" w:hAnsiTheme="majorHAnsi"/>
          <w:b/>
          <w:bCs/>
          <w:sz w:val="20"/>
          <w:szCs w:val="20"/>
          <w:lang w:val="es-ES"/>
        </w:rPr>
        <w:tab/>
        <w:t>DECISIÓN</w:t>
      </w:r>
    </w:p>
    <w:p w14:paraId="60DACB67" w14:textId="77777777" w:rsidR="00F1512D" w:rsidRPr="00ED2D41"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6B8AA59" w14:textId="35B2CC47" w:rsidR="00D10D7C" w:rsidRPr="00ED2D41" w:rsidRDefault="003239B8" w:rsidP="00F151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D2D41">
        <w:rPr>
          <w:rFonts w:asciiTheme="majorHAnsi" w:hAnsiTheme="majorHAnsi"/>
          <w:sz w:val="20"/>
          <w:szCs w:val="20"/>
          <w:lang w:val="es-ES"/>
        </w:rPr>
        <w:t>Declarar admisible la presente petición en relación con</w:t>
      </w:r>
      <w:r w:rsidR="00D10D7C" w:rsidRPr="00ED2D41">
        <w:rPr>
          <w:rFonts w:asciiTheme="majorHAnsi" w:hAnsiTheme="majorHAnsi"/>
          <w:sz w:val="20"/>
          <w:szCs w:val="20"/>
          <w:lang w:val="es-ES"/>
        </w:rPr>
        <w:t xml:space="preserve"> </w:t>
      </w:r>
      <w:r w:rsidR="00F1512D" w:rsidRPr="00ED2D41">
        <w:rPr>
          <w:rFonts w:asciiTheme="majorHAnsi" w:hAnsiTheme="majorHAnsi"/>
          <w:sz w:val="20"/>
          <w:szCs w:val="20"/>
          <w:lang w:val="es-ES"/>
        </w:rPr>
        <w:t>los artículos</w:t>
      </w:r>
      <w:r w:rsidR="00ED2D41" w:rsidRPr="00ED2D41">
        <w:rPr>
          <w:rFonts w:asciiTheme="majorHAnsi" w:hAnsiTheme="majorHAnsi"/>
          <w:sz w:val="20"/>
          <w:szCs w:val="20"/>
          <w:lang w:val="es-ES"/>
        </w:rPr>
        <w:t xml:space="preserve"> 7 (libertad personal) y</w:t>
      </w:r>
      <w:r w:rsidR="00D10D7C" w:rsidRPr="00ED2D41">
        <w:rPr>
          <w:rFonts w:asciiTheme="majorHAnsi" w:hAnsiTheme="majorHAnsi"/>
          <w:sz w:val="20"/>
          <w:szCs w:val="20"/>
          <w:lang w:val="es-ES"/>
        </w:rPr>
        <w:t xml:space="preserve"> </w:t>
      </w:r>
      <w:r w:rsidR="00D10D7C" w:rsidRPr="00ED2D41">
        <w:rPr>
          <w:rFonts w:asciiTheme="majorHAnsi" w:hAnsiTheme="majorHAnsi"/>
          <w:bCs/>
          <w:sz w:val="20"/>
          <w:szCs w:val="20"/>
          <w:lang w:val="es-ES"/>
        </w:rPr>
        <w:t>8 (garantías judiciales) de la Convención Americana en relación con su artículo 1.1. (obligación de respetar los derechos);</w:t>
      </w:r>
    </w:p>
    <w:p w14:paraId="17B8A8DE" w14:textId="77777777" w:rsidR="00F1512D" w:rsidRDefault="00F1512D" w:rsidP="00F151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2D18C8D0" w:rsidR="00D93A90" w:rsidRDefault="004A6A54" w:rsidP="00F151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10D7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EF567EC" w14:textId="77777777" w:rsidR="000177F4" w:rsidRDefault="000177F4" w:rsidP="000177F4">
      <w:pPr>
        <w:pStyle w:val="ListParagraph"/>
        <w:rPr>
          <w:rFonts w:asciiTheme="majorHAnsi" w:hAnsiTheme="majorHAnsi"/>
          <w:sz w:val="20"/>
          <w:szCs w:val="20"/>
          <w:lang w:val="es-ES"/>
        </w:rPr>
      </w:pPr>
    </w:p>
    <w:p w14:paraId="05F52C1F" w14:textId="77777777" w:rsidR="000177F4" w:rsidRPr="00FE5D43" w:rsidRDefault="000177F4" w:rsidP="000177F4">
      <w:pPr>
        <w:ind w:firstLine="720"/>
        <w:jc w:val="both"/>
        <w:rPr>
          <w:rFonts w:ascii="Cambria" w:hAnsi="Cambria" w:cs="Arial"/>
          <w:noProof/>
          <w:spacing w:val="-2"/>
          <w:sz w:val="20"/>
          <w:szCs w:val="20"/>
          <w:lang w:val="es-CL"/>
        </w:rPr>
      </w:pPr>
      <w:r w:rsidRPr="00FE5D43">
        <w:rPr>
          <w:rFonts w:ascii="Cambria" w:hAnsi="Cambria" w:cs="Arial"/>
          <w:noProof/>
          <w:spacing w:val="-2"/>
          <w:sz w:val="20"/>
          <w:szCs w:val="20"/>
          <w:lang w:val="es-CL"/>
        </w:rPr>
        <w:t>Aprobado por la Comisión Interamericana de Derechos Humanos  a los 9 días del mes de marzo de 2021.  (Firmado): Joel Hernández, Presidente; Antonia Urrejola, Primera Vicepresidenta; Esmeralda E. Arosemena Bernal de Troitiño y Stuardo Ralón Orellana, Miembros de la Comisión.</w:t>
      </w:r>
      <w:r w:rsidRPr="00FE5D43">
        <w:rPr>
          <w:rFonts w:ascii="Cambria" w:hAnsi="Cambria" w:cs="Arial"/>
          <w:noProof/>
          <w:sz w:val="20"/>
          <w:szCs w:val="20"/>
          <w:lang w:val="es-CL"/>
        </w:rPr>
        <w:t xml:space="preserve"> </w:t>
      </w:r>
    </w:p>
    <w:p w14:paraId="29AA5A22" w14:textId="77777777" w:rsidR="000177F4" w:rsidRPr="00FE5D43" w:rsidRDefault="000177F4" w:rsidP="000177F4">
      <w:pPr>
        <w:suppressAutoHyphens/>
        <w:ind w:firstLine="720"/>
        <w:jc w:val="both"/>
        <w:rPr>
          <w:rFonts w:ascii="Cambria" w:hAnsi="Cambria" w:cs="Arial"/>
          <w:noProof/>
          <w:spacing w:val="-2"/>
          <w:sz w:val="20"/>
          <w:szCs w:val="20"/>
          <w:lang w:val="es-CL"/>
        </w:rPr>
      </w:pPr>
    </w:p>
    <w:sectPr w:rsidR="000177F4" w:rsidRPr="00FE5D43"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521" w16cex:dateUtc="2020-12-0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546E4" w16cid:durableId="2370D065"/>
  <w16cid:commentId w16cid:paraId="4D62AA60" w16cid:durableId="2370D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4CED8" w14:textId="77777777" w:rsidR="00354149" w:rsidRDefault="00354149">
      <w:r>
        <w:separator/>
      </w:r>
    </w:p>
  </w:endnote>
  <w:endnote w:type="continuationSeparator" w:id="0">
    <w:p w14:paraId="7709D733" w14:textId="77777777" w:rsidR="00354149" w:rsidRDefault="0035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08859" w14:textId="77777777" w:rsidR="00704DE3" w:rsidRDefault="00704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DEC6261" w:rsidR="00300990" w:rsidRPr="00934A2C" w:rsidRDefault="0030099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04DE3">
          <w:rPr>
            <w:noProof/>
            <w:sz w:val="16"/>
            <w:szCs w:val="22"/>
          </w:rPr>
          <w:t>3</w:t>
        </w:r>
        <w:r w:rsidRPr="00934A2C">
          <w:rPr>
            <w:noProof/>
            <w:sz w:val="16"/>
            <w:szCs w:val="22"/>
          </w:rPr>
          <w:fldChar w:fldCharType="end"/>
        </w:r>
      </w:p>
    </w:sdtContent>
  </w:sdt>
  <w:p w14:paraId="68530E6A" w14:textId="77777777" w:rsidR="00300990" w:rsidRDefault="00300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00990" w:rsidRPr="00934A2C" w:rsidRDefault="00300990">
    <w:pPr>
      <w:pStyle w:val="Footer"/>
      <w:jc w:val="center"/>
      <w:rPr>
        <w:sz w:val="16"/>
        <w:szCs w:val="22"/>
      </w:rPr>
    </w:pPr>
  </w:p>
  <w:p w14:paraId="49059CE3" w14:textId="77777777" w:rsidR="00300990" w:rsidRDefault="0030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04B80" w14:textId="77777777" w:rsidR="00354149" w:rsidRPr="000F35ED" w:rsidRDefault="0035414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9261D3" w14:textId="77777777" w:rsidR="00354149" w:rsidRPr="000F35ED" w:rsidRDefault="00354149" w:rsidP="000F35ED">
      <w:pPr>
        <w:rPr>
          <w:rFonts w:asciiTheme="majorHAnsi" w:hAnsiTheme="majorHAnsi"/>
          <w:sz w:val="16"/>
          <w:szCs w:val="16"/>
        </w:rPr>
      </w:pPr>
      <w:r w:rsidRPr="000F35ED">
        <w:rPr>
          <w:rFonts w:asciiTheme="majorHAnsi" w:hAnsiTheme="majorHAnsi"/>
          <w:sz w:val="16"/>
          <w:szCs w:val="16"/>
        </w:rPr>
        <w:separator/>
      </w:r>
    </w:p>
    <w:p w14:paraId="61BFB078" w14:textId="77777777" w:rsidR="00354149" w:rsidRPr="000F35ED" w:rsidRDefault="0035414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0EC5C22" w14:textId="77777777" w:rsidR="00354149" w:rsidRPr="000F35ED" w:rsidRDefault="0035414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0B664E5E" w:rsidR="00300990" w:rsidRPr="002677BD" w:rsidRDefault="000177F4" w:rsidP="002677BD">
      <w:pPr>
        <w:pStyle w:val="FootnoteText"/>
        <w:contextualSpacing/>
        <w:jc w:val="both"/>
        <w:rPr>
          <w:rFonts w:ascii="Cambria" w:hAnsi="Cambria"/>
          <w:sz w:val="16"/>
          <w:szCs w:val="16"/>
          <w:lang w:val="es-ES"/>
        </w:rPr>
      </w:pPr>
      <w:r>
        <w:rPr>
          <w:rFonts w:ascii="Cambria" w:hAnsi="Cambria"/>
          <w:sz w:val="16"/>
          <w:szCs w:val="16"/>
          <w:lang w:val="es-ES"/>
        </w:rPr>
        <w:tab/>
      </w:r>
      <w:r w:rsidR="00300990" w:rsidRPr="002677BD">
        <w:rPr>
          <w:rStyle w:val="FootnoteReference"/>
          <w:rFonts w:ascii="Cambria" w:hAnsi="Cambria"/>
          <w:sz w:val="16"/>
          <w:szCs w:val="16"/>
        </w:rPr>
        <w:footnoteRef/>
      </w:r>
      <w:r w:rsidR="00300990" w:rsidRPr="002677BD">
        <w:rPr>
          <w:rFonts w:ascii="Cambria" w:hAnsi="Cambria"/>
          <w:sz w:val="16"/>
          <w:szCs w:val="16"/>
          <w:lang w:val="es-ES"/>
        </w:rPr>
        <w:t xml:space="preserve"> En adelante “la Convención Americana” o “la Convención”.</w:t>
      </w:r>
    </w:p>
  </w:footnote>
  <w:footnote w:id="3">
    <w:p w14:paraId="79F07139" w14:textId="4EF570A2" w:rsidR="00300990" w:rsidRPr="002677BD" w:rsidRDefault="000177F4" w:rsidP="002677BD">
      <w:pPr>
        <w:pStyle w:val="FootnoteText"/>
        <w:contextualSpacing/>
        <w:jc w:val="both"/>
        <w:rPr>
          <w:rFonts w:ascii="Cambria" w:hAnsi="Cambria"/>
          <w:sz w:val="16"/>
          <w:szCs w:val="16"/>
          <w:lang w:val="es-ES"/>
        </w:rPr>
      </w:pPr>
      <w:r>
        <w:rPr>
          <w:rFonts w:ascii="Cambria" w:hAnsi="Cambria"/>
          <w:sz w:val="16"/>
          <w:szCs w:val="16"/>
          <w:lang w:val="es-ES"/>
        </w:rPr>
        <w:tab/>
      </w:r>
      <w:r w:rsidR="00300990" w:rsidRPr="002677BD">
        <w:rPr>
          <w:rStyle w:val="FootnoteReference"/>
          <w:rFonts w:ascii="Cambria" w:hAnsi="Cambria"/>
          <w:sz w:val="16"/>
          <w:szCs w:val="16"/>
        </w:rPr>
        <w:footnoteRef/>
      </w:r>
      <w:r w:rsidR="00300990" w:rsidRPr="002677BD">
        <w:rPr>
          <w:rFonts w:ascii="Cambria" w:hAnsi="Cambria"/>
          <w:sz w:val="16"/>
          <w:szCs w:val="16"/>
          <w:lang w:val="es-ES"/>
        </w:rPr>
        <w:t xml:space="preserve"> Las observaciones de cada parte fueron debidamente trasladadas a la parte contraria.</w:t>
      </w:r>
    </w:p>
  </w:footnote>
  <w:footnote w:id="4">
    <w:p w14:paraId="6CDCB3D2" w14:textId="7CE56ED6" w:rsidR="00E82214" w:rsidRPr="002677BD" w:rsidRDefault="000177F4" w:rsidP="002677BD">
      <w:pPr>
        <w:contextualSpacing/>
        <w:jc w:val="both"/>
        <w:rPr>
          <w:rFonts w:ascii="Cambria" w:eastAsia="Times New Roman" w:hAnsi="Cambria"/>
          <w:sz w:val="16"/>
          <w:szCs w:val="16"/>
          <w:bdr w:val="none" w:sz="0" w:space="0" w:color="auto"/>
          <w:lang w:val="es-US" w:eastAsia="pt-BR"/>
        </w:rPr>
      </w:pPr>
      <w:r>
        <w:rPr>
          <w:rFonts w:ascii="Cambria" w:hAnsi="Cambria"/>
          <w:sz w:val="16"/>
          <w:szCs w:val="16"/>
          <w:lang w:val="es-ES"/>
        </w:rPr>
        <w:tab/>
      </w:r>
      <w:r w:rsidR="00E82214" w:rsidRPr="002677BD">
        <w:rPr>
          <w:rStyle w:val="FootnoteReference"/>
          <w:rFonts w:ascii="Cambria" w:hAnsi="Cambria"/>
          <w:sz w:val="16"/>
          <w:szCs w:val="16"/>
        </w:rPr>
        <w:footnoteRef/>
      </w:r>
      <w:r w:rsidR="00E82214" w:rsidRPr="002677BD">
        <w:rPr>
          <w:rFonts w:ascii="Cambria" w:hAnsi="Cambria"/>
          <w:sz w:val="16"/>
          <w:szCs w:val="16"/>
          <w:lang w:val="es-US"/>
        </w:rPr>
        <w:t xml:space="preserve"> Artículo 49.1 de la Constitución de la República Bolivariana de Venezuela: </w:t>
      </w:r>
      <w:r w:rsidR="00E82214" w:rsidRPr="002677BD">
        <w:rPr>
          <w:rFonts w:ascii="Cambria" w:eastAsia="Times New Roman" w:hAnsi="Cambria" w:cs="Arial"/>
          <w:color w:val="000000"/>
          <w:sz w:val="16"/>
          <w:szCs w:val="16"/>
          <w:bdr w:val="none" w:sz="0" w:space="0" w:color="auto"/>
          <w:shd w:val="clear" w:color="auto" w:fill="FFFFFF"/>
          <w:lang w:val="es-US" w:eastAsia="pt-BR"/>
        </w:rPr>
        <w:t xml:space="preserve"> El debido proceso se aplicará a todas las actuaciones judiciales y administrativas; en consecuencia: 1. La defensa y la asistencia jurídica son derechos inviolables en todo estado y grado de la investigación y del proceso. Toda persona tiene derecho a ser notificada de los cargos por los cuales se le investiga; de acceder a las pruebas y de disponer del tiempo y de los medios adecuados para ejercer su defensa. Serán nulas las pruebas obtenidas mediante violación del debido proceso. Toda persona declarada culpable tiene derecho a recurrir del fallo, con las excepciones establecidas en esta Constitución y en la ley. </w:t>
      </w:r>
    </w:p>
  </w:footnote>
  <w:footnote w:id="5">
    <w:p w14:paraId="3DC23355" w14:textId="1DE2030D" w:rsidR="00300990" w:rsidRPr="002677BD" w:rsidRDefault="000177F4" w:rsidP="002677BD">
      <w:pPr>
        <w:pStyle w:val="FootnoteText"/>
        <w:contextualSpacing/>
        <w:jc w:val="both"/>
        <w:rPr>
          <w:rFonts w:ascii="Cambria" w:hAnsi="Cambria"/>
          <w:sz w:val="16"/>
          <w:szCs w:val="16"/>
          <w:lang w:val="es-ES"/>
        </w:rPr>
      </w:pPr>
      <w:r>
        <w:rPr>
          <w:rFonts w:ascii="Cambria" w:hAnsi="Cambria"/>
          <w:sz w:val="16"/>
          <w:szCs w:val="16"/>
          <w:lang w:val="es-ES"/>
        </w:rPr>
        <w:tab/>
      </w:r>
      <w:r w:rsidR="00300990" w:rsidRPr="002677BD">
        <w:rPr>
          <w:rStyle w:val="FootnoteReference"/>
          <w:rFonts w:ascii="Cambria" w:hAnsi="Cambria"/>
          <w:sz w:val="16"/>
          <w:szCs w:val="16"/>
        </w:rPr>
        <w:footnoteRef/>
      </w:r>
      <w:r w:rsidR="00300990" w:rsidRPr="002677BD">
        <w:rPr>
          <w:rFonts w:ascii="Cambria" w:hAnsi="Cambria"/>
          <w:sz w:val="16"/>
          <w:szCs w:val="16"/>
          <w:lang w:val="es-ES"/>
        </w:rPr>
        <w:t xml:space="preserve"> CIDH, Informe No. 82/17, Petición 1067-07. Admisibilidad. Rosa Ángela Martino y María Cristina González. Argentina. 7 de julio de 2017, párr. 12.</w:t>
      </w:r>
    </w:p>
  </w:footnote>
  <w:footnote w:id="6">
    <w:p w14:paraId="5658B727" w14:textId="77777777" w:rsidR="00605BF3" w:rsidRPr="000177F4" w:rsidRDefault="00605BF3" w:rsidP="002677BD">
      <w:pPr>
        <w:pStyle w:val="FootnoteText"/>
        <w:contextualSpacing/>
        <w:jc w:val="both"/>
        <w:rPr>
          <w:rFonts w:ascii="Cambria" w:hAnsi="Cambria"/>
          <w:sz w:val="2"/>
          <w:szCs w:val="2"/>
          <w:lang w:val="es-ES"/>
        </w:rPr>
      </w:pPr>
    </w:p>
    <w:p w14:paraId="64D9110A" w14:textId="7E007A23" w:rsidR="00300990" w:rsidRPr="002677BD" w:rsidRDefault="000177F4" w:rsidP="002677BD">
      <w:pPr>
        <w:pStyle w:val="FootnoteText"/>
        <w:contextualSpacing/>
        <w:jc w:val="both"/>
        <w:rPr>
          <w:rFonts w:ascii="Cambria" w:hAnsi="Cambria"/>
          <w:sz w:val="16"/>
          <w:szCs w:val="16"/>
          <w:lang w:val="es-ES"/>
        </w:rPr>
      </w:pPr>
      <w:r>
        <w:rPr>
          <w:rFonts w:ascii="Cambria" w:hAnsi="Cambria"/>
          <w:sz w:val="16"/>
          <w:szCs w:val="16"/>
          <w:lang w:val="es-ES"/>
        </w:rPr>
        <w:tab/>
      </w:r>
      <w:r w:rsidR="00300990" w:rsidRPr="002677BD">
        <w:rPr>
          <w:rStyle w:val="FootnoteReference"/>
          <w:rFonts w:ascii="Cambria" w:hAnsi="Cambria"/>
          <w:sz w:val="16"/>
          <w:szCs w:val="16"/>
        </w:rPr>
        <w:footnoteRef/>
      </w:r>
      <w:r w:rsidR="00300990" w:rsidRPr="002677BD">
        <w:rPr>
          <w:rFonts w:ascii="Cambria" w:hAnsi="Cambria"/>
          <w:sz w:val="16"/>
          <w:szCs w:val="16"/>
          <w:lang w:val="es-ES"/>
        </w:rPr>
        <w:t xml:space="preserve"> </w:t>
      </w:r>
      <w:r w:rsidR="00300990" w:rsidRPr="002677BD">
        <w:rPr>
          <w:rFonts w:ascii="Cambria" w:hAnsi="Cambria"/>
          <w:sz w:val="16"/>
          <w:szCs w:val="16"/>
          <w:lang w:val="es-ES_tradnl"/>
        </w:rPr>
        <w:t>CIDH, Informe No. 3/11, Petición 491-98. Admisibilidad. Néstor Rolando López y otros. Argentina. 5 de enero de 2011, párr. 26.</w:t>
      </w:r>
      <w:r w:rsidR="00300990" w:rsidRPr="002677BD">
        <w:rPr>
          <w:rFonts w:ascii="Cambria" w:hAnsi="Cambria"/>
          <w:sz w:val="16"/>
          <w:szCs w:val="16"/>
          <w:lang w:val="es-ES"/>
        </w:rPr>
        <w:t xml:space="preserve"> </w:t>
      </w:r>
    </w:p>
  </w:footnote>
  <w:footnote w:id="7">
    <w:p w14:paraId="7CF887DE" w14:textId="77777777" w:rsidR="00605BF3" w:rsidRPr="000177F4" w:rsidRDefault="00605BF3" w:rsidP="002677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
          <w:szCs w:val="2"/>
          <w:lang w:val="es-US"/>
        </w:rPr>
      </w:pPr>
    </w:p>
    <w:p w14:paraId="6C63C04D" w14:textId="74E82188" w:rsidR="00605BF3" w:rsidRPr="002677BD" w:rsidRDefault="000177F4" w:rsidP="002677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b/>
          <w:bCs/>
          <w:sz w:val="16"/>
          <w:szCs w:val="16"/>
          <w:lang w:val="es-US" w:eastAsia="es-ES"/>
        </w:rPr>
      </w:pPr>
      <w:r>
        <w:rPr>
          <w:rFonts w:ascii="Cambria" w:hAnsi="Cambria"/>
          <w:sz w:val="16"/>
          <w:szCs w:val="16"/>
          <w:lang w:val="es-US"/>
        </w:rPr>
        <w:tab/>
      </w:r>
      <w:r w:rsidR="00491FA4" w:rsidRPr="002677BD">
        <w:rPr>
          <w:rStyle w:val="FootnoteReference"/>
          <w:rFonts w:ascii="Cambria" w:hAnsi="Cambria"/>
          <w:sz w:val="16"/>
          <w:szCs w:val="16"/>
        </w:rPr>
        <w:footnoteRef/>
      </w:r>
      <w:r w:rsidR="00491FA4" w:rsidRPr="002677BD">
        <w:rPr>
          <w:rFonts w:ascii="Cambria" w:hAnsi="Cambria"/>
          <w:sz w:val="16"/>
          <w:szCs w:val="16"/>
          <w:lang w:val="es-US"/>
        </w:rPr>
        <w:t xml:space="preserve"> </w:t>
      </w:r>
      <w:r w:rsidR="00AF2755" w:rsidRPr="002677BD">
        <w:rPr>
          <w:rFonts w:ascii="Cambria" w:hAnsi="Cambria"/>
          <w:sz w:val="16"/>
          <w:szCs w:val="16"/>
          <w:lang w:val="es-US"/>
        </w:rPr>
        <w:t xml:space="preserve"> </w:t>
      </w:r>
      <w:r w:rsidR="009B4820" w:rsidRPr="002677BD">
        <w:rPr>
          <w:rFonts w:ascii="Cambria" w:hAnsi="Cambria"/>
          <w:sz w:val="16"/>
          <w:szCs w:val="16"/>
          <w:shd w:val="clear" w:color="auto" w:fill="FFFFFF"/>
          <w:lang w:val="es-VE"/>
        </w:rPr>
        <w:t>Código Orgánico Procesal Penal</w:t>
      </w:r>
      <w:r w:rsidR="009B4820" w:rsidRPr="002677BD">
        <w:rPr>
          <w:rFonts w:ascii="Cambria" w:hAnsi="Cambria"/>
          <w:sz w:val="16"/>
          <w:szCs w:val="16"/>
          <w:lang w:val="es-VE"/>
        </w:rPr>
        <w:t xml:space="preserve"> venezolano</w:t>
      </w:r>
      <w:r w:rsidR="009B4820" w:rsidRPr="002677BD">
        <w:rPr>
          <w:rFonts w:ascii="Cambria" w:hAnsi="Cambria"/>
          <w:b/>
          <w:bCs/>
          <w:sz w:val="16"/>
          <w:szCs w:val="16"/>
          <w:lang w:val="es-US" w:eastAsia="es-ES"/>
        </w:rPr>
        <w:t xml:space="preserve">, </w:t>
      </w:r>
      <w:r w:rsidR="009B4820" w:rsidRPr="002677BD">
        <w:rPr>
          <w:rFonts w:ascii="Cambria" w:hAnsi="Cambria"/>
          <w:bCs/>
          <w:sz w:val="16"/>
          <w:szCs w:val="16"/>
          <w:lang w:val="es-US" w:eastAsia="es-ES"/>
        </w:rPr>
        <w:t>Título IV: Del Recurso de Casación, Decisiones Recurribles</w:t>
      </w:r>
      <w:r w:rsidR="009B4820" w:rsidRPr="002677BD">
        <w:rPr>
          <w:rFonts w:ascii="Cambria" w:hAnsi="Cambria"/>
          <w:b/>
          <w:bCs/>
          <w:sz w:val="16"/>
          <w:szCs w:val="16"/>
          <w:lang w:val="es-US" w:eastAsia="es-ES"/>
        </w:rPr>
        <w:t xml:space="preserve"> </w:t>
      </w:r>
      <w:r w:rsidR="00491FA4" w:rsidRPr="002677BD">
        <w:rPr>
          <w:rFonts w:ascii="Cambria" w:hAnsi="Cambria"/>
          <w:sz w:val="16"/>
          <w:szCs w:val="16"/>
          <w:lang w:val="es-US"/>
        </w:rPr>
        <w:t xml:space="preserve">Artículo 451: </w:t>
      </w:r>
      <w:r w:rsidR="00F20591" w:rsidRPr="002677BD">
        <w:rPr>
          <w:rFonts w:ascii="Cambria" w:hAnsi="Cambria"/>
          <w:sz w:val="16"/>
          <w:szCs w:val="16"/>
          <w:lang w:val="es-US" w:eastAsia="es-ES"/>
        </w:rPr>
        <w:t>El recurso de casación sólo podrá ser interpuesto en contra de las sentencias de las</w:t>
      </w:r>
      <w:r w:rsidR="00605BF3" w:rsidRPr="002677BD">
        <w:rPr>
          <w:rFonts w:ascii="Cambria" w:hAnsi="Cambria"/>
          <w:sz w:val="16"/>
          <w:szCs w:val="16"/>
          <w:lang w:val="es-US" w:eastAsia="es-ES"/>
        </w:rPr>
        <w:t xml:space="preserve"> </w:t>
      </w:r>
      <w:r w:rsidR="00F20591" w:rsidRPr="002677BD">
        <w:rPr>
          <w:rFonts w:ascii="Cambria" w:hAnsi="Cambria"/>
          <w:sz w:val="16"/>
          <w:szCs w:val="16"/>
          <w:lang w:val="es-US" w:eastAsia="es-ES"/>
        </w:rPr>
        <w:t>cortes de apelaciones que resuelven sobre la apelación, sin ord</w:t>
      </w:r>
      <w:r w:rsidR="00605BF3" w:rsidRPr="002677BD">
        <w:rPr>
          <w:rFonts w:ascii="Cambria" w:hAnsi="Cambria"/>
          <w:sz w:val="16"/>
          <w:szCs w:val="16"/>
          <w:lang w:val="es-US" w:eastAsia="es-ES"/>
        </w:rPr>
        <w:t xml:space="preserve">enar la realización de un nuevo </w:t>
      </w:r>
      <w:r w:rsidR="00F20591" w:rsidRPr="002677BD">
        <w:rPr>
          <w:rFonts w:ascii="Cambria" w:hAnsi="Cambria"/>
          <w:sz w:val="16"/>
          <w:szCs w:val="16"/>
          <w:lang w:val="es-US" w:eastAsia="es-ES"/>
        </w:rPr>
        <w:t>juicio oral, cuando el Ministerio Público haya pedido en la acusación o la víctima en su acusación particular propia o en su acusación privada, la aplicación de una pena privativa de libertad que en su límite máximo exceda de cuatro años; o la sentencia condene a p</w:t>
      </w:r>
      <w:r w:rsidR="00605BF3" w:rsidRPr="002677BD">
        <w:rPr>
          <w:rFonts w:ascii="Cambria" w:hAnsi="Cambria"/>
          <w:sz w:val="16"/>
          <w:szCs w:val="16"/>
          <w:lang w:val="es-US" w:eastAsia="es-ES"/>
        </w:rPr>
        <w:t xml:space="preserve">enas superiores a esos límites. </w:t>
      </w:r>
    </w:p>
    <w:p w14:paraId="6832ED95" w14:textId="77777777" w:rsidR="00605BF3" w:rsidRPr="002677BD" w:rsidRDefault="00605BF3" w:rsidP="002677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16"/>
          <w:szCs w:val="16"/>
          <w:lang w:val="es-US" w:eastAsia="es-ES"/>
        </w:rPr>
      </w:pPr>
    </w:p>
    <w:p w14:paraId="2A5D5664" w14:textId="3494084D" w:rsidR="00F20591" w:rsidRPr="002677BD" w:rsidRDefault="00AF2755" w:rsidP="002677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16"/>
          <w:szCs w:val="16"/>
          <w:lang w:val="es-US" w:eastAsia="es-ES"/>
        </w:rPr>
      </w:pPr>
      <w:r w:rsidRPr="002677BD">
        <w:rPr>
          <w:rFonts w:ascii="Cambria" w:hAnsi="Cambria"/>
          <w:sz w:val="16"/>
          <w:szCs w:val="16"/>
          <w:lang w:val="es-US" w:eastAsia="es-ES"/>
        </w:rPr>
        <w:t>Asimismo,</w:t>
      </w:r>
      <w:r w:rsidR="00F20591" w:rsidRPr="002677BD">
        <w:rPr>
          <w:rFonts w:ascii="Cambria" w:hAnsi="Cambria"/>
          <w:sz w:val="16"/>
          <w:szCs w:val="16"/>
          <w:lang w:val="es-US" w:eastAsia="es-ES"/>
        </w:rPr>
        <w:t xml:space="preserve"> serán impugnables las decisiones de las cortes</w:t>
      </w:r>
      <w:r w:rsidR="00605BF3" w:rsidRPr="002677BD">
        <w:rPr>
          <w:rFonts w:ascii="Cambria" w:hAnsi="Cambria"/>
          <w:sz w:val="16"/>
          <w:szCs w:val="16"/>
          <w:lang w:val="es-US" w:eastAsia="es-ES"/>
        </w:rPr>
        <w:t xml:space="preserve"> de apelaciones que confirmen o </w:t>
      </w:r>
      <w:r w:rsidR="00F20591" w:rsidRPr="002677BD">
        <w:rPr>
          <w:rFonts w:ascii="Cambria" w:hAnsi="Cambria"/>
          <w:sz w:val="16"/>
          <w:szCs w:val="16"/>
          <w:lang w:val="es-US" w:eastAsia="es-ES"/>
        </w:rPr>
        <w:t>declaren la terminación del proceso o hagan imposible su continu</w:t>
      </w:r>
      <w:r w:rsidR="00605BF3" w:rsidRPr="002677BD">
        <w:rPr>
          <w:rFonts w:ascii="Cambria" w:hAnsi="Cambria"/>
          <w:sz w:val="16"/>
          <w:szCs w:val="16"/>
          <w:lang w:val="es-US" w:eastAsia="es-ES"/>
        </w:rPr>
        <w:t xml:space="preserve">ación, </w:t>
      </w:r>
      <w:r w:rsidRPr="002677BD">
        <w:rPr>
          <w:rFonts w:ascii="Cambria" w:hAnsi="Cambria"/>
          <w:sz w:val="16"/>
          <w:szCs w:val="16"/>
          <w:lang w:val="es-US" w:eastAsia="es-ES"/>
        </w:rPr>
        <w:t>aun</w:t>
      </w:r>
      <w:r w:rsidR="00605BF3" w:rsidRPr="002677BD">
        <w:rPr>
          <w:rFonts w:ascii="Cambria" w:hAnsi="Cambria"/>
          <w:sz w:val="16"/>
          <w:szCs w:val="16"/>
          <w:lang w:val="es-US" w:eastAsia="es-ES"/>
        </w:rPr>
        <w:t xml:space="preserve"> cuando sean dictadas </w:t>
      </w:r>
      <w:r w:rsidR="00F20591" w:rsidRPr="002677BD">
        <w:rPr>
          <w:rFonts w:ascii="Cambria" w:hAnsi="Cambria"/>
          <w:sz w:val="16"/>
          <w:szCs w:val="16"/>
          <w:lang w:val="es-US" w:eastAsia="es-ES"/>
        </w:rPr>
        <w:t>durante la fase intermedia, o en un nuevo juicio verif</w:t>
      </w:r>
      <w:r w:rsidR="00605BF3" w:rsidRPr="002677BD">
        <w:rPr>
          <w:rFonts w:ascii="Cambria" w:hAnsi="Cambria"/>
          <w:sz w:val="16"/>
          <w:szCs w:val="16"/>
          <w:lang w:val="es-US" w:eastAsia="es-ES"/>
        </w:rPr>
        <w:t xml:space="preserve">icado con motivo de la decisión </w:t>
      </w:r>
      <w:r w:rsidR="00F20591" w:rsidRPr="002677BD">
        <w:rPr>
          <w:rFonts w:ascii="Cambria" w:hAnsi="Cambria"/>
          <w:sz w:val="16"/>
          <w:szCs w:val="16"/>
          <w:lang w:val="es-US" w:eastAsia="es-ES"/>
        </w:rPr>
        <w:t xml:space="preserve">del Tribunal Supremo de Justicia que haya anulado la sentencia del juicio anterior. </w:t>
      </w:r>
    </w:p>
    <w:p w14:paraId="69CF402E" w14:textId="5576CF98" w:rsidR="00491FA4" w:rsidRPr="000177F4" w:rsidRDefault="00491FA4" w:rsidP="002677BD">
      <w:pPr>
        <w:pStyle w:val="NormalWeb"/>
        <w:shd w:val="clear" w:color="auto" w:fill="FFFFFF"/>
        <w:spacing w:before="0" w:beforeAutospacing="0" w:after="0" w:afterAutospacing="0"/>
        <w:contextualSpacing/>
        <w:jc w:val="both"/>
        <w:rPr>
          <w:rFonts w:ascii="Cambria" w:hAnsi="Cambria"/>
          <w:sz w:val="2"/>
          <w:szCs w:val="2"/>
          <w:lang w:val="es-US"/>
        </w:rPr>
      </w:pPr>
    </w:p>
  </w:footnote>
  <w:footnote w:id="8">
    <w:p w14:paraId="7F2008DF" w14:textId="2FB50C87" w:rsidR="00300990" w:rsidRPr="002677BD" w:rsidRDefault="000177F4" w:rsidP="002677BD">
      <w:pPr>
        <w:pStyle w:val="FootnoteText"/>
        <w:contextualSpacing/>
        <w:jc w:val="both"/>
        <w:rPr>
          <w:rFonts w:ascii="Cambria" w:hAnsi="Cambria"/>
          <w:sz w:val="16"/>
          <w:szCs w:val="16"/>
          <w:lang w:val="es-ES"/>
        </w:rPr>
      </w:pPr>
      <w:r>
        <w:rPr>
          <w:rFonts w:ascii="Cambria" w:hAnsi="Cambria"/>
          <w:sz w:val="16"/>
          <w:szCs w:val="16"/>
          <w:lang w:val="es-ES"/>
        </w:rPr>
        <w:tab/>
      </w:r>
      <w:r w:rsidR="00300990" w:rsidRPr="002677BD">
        <w:rPr>
          <w:rStyle w:val="FootnoteReference"/>
          <w:rFonts w:ascii="Cambria" w:hAnsi="Cambria"/>
          <w:sz w:val="16"/>
          <w:szCs w:val="16"/>
        </w:rPr>
        <w:footnoteRef/>
      </w:r>
      <w:r w:rsidR="00300990" w:rsidRPr="002677BD">
        <w:rPr>
          <w:rFonts w:ascii="Cambria" w:hAnsi="Cambria"/>
          <w:sz w:val="16"/>
          <w:szCs w:val="16"/>
          <w:lang w:val="es-ES"/>
        </w:rPr>
        <w:t xml:space="preserve"> CIDH, Informe No. 48/17, Petición 338-07. Admisibilidad. Luis Fernando Leyva </w:t>
      </w:r>
      <w:proofErr w:type="spellStart"/>
      <w:r w:rsidR="00300990" w:rsidRPr="002677BD">
        <w:rPr>
          <w:rFonts w:ascii="Cambria" w:hAnsi="Cambria"/>
          <w:sz w:val="16"/>
          <w:szCs w:val="16"/>
          <w:lang w:val="es-ES"/>
        </w:rPr>
        <w:t>Micolta</w:t>
      </w:r>
      <w:proofErr w:type="spellEnd"/>
      <w:r w:rsidR="00300990" w:rsidRPr="002677BD">
        <w:rPr>
          <w:rFonts w:ascii="Cambria" w:hAnsi="Cambria"/>
          <w:sz w:val="16"/>
          <w:szCs w:val="16"/>
          <w:lang w:val="es-ES"/>
        </w:rPr>
        <w:t>. Colombia. 25 de mayo de 2017, párr.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00990" w:rsidRDefault="00300990" w:rsidP="006D62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00990" w:rsidRDefault="00300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00990" w:rsidRDefault="0030099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00990" w:rsidRPr="00EC7D62" w:rsidRDefault="00354149"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BDDF6" w14:textId="77777777" w:rsidR="00704DE3" w:rsidRDefault="00704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DB0091C"/>
    <w:lvl w:ilvl="0" w:tplc="B2B4424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82F72D0"/>
    <w:multiLevelType w:val="multilevel"/>
    <w:tmpl w:val="F00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BF8719B"/>
    <w:multiLevelType w:val="hybridMultilevel"/>
    <w:tmpl w:val="B27004C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FA87254"/>
    <w:multiLevelType w:val="hybridMultilevel"/>
    <w:tmpl w:val="57D4C45E"/>
    <w:lvl w:ilvl="0" w:tplc="F580D57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E5855"/>
    <w:multiLevelType w:val="hybridMultilevel"/>
    <w:tmpl w:val="CC7C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3"/>
  </w:num>
  <w:num w:numId="5">
    <w:abstractNumId w:val="50"/>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1"/>
  </w:num>
  <w:num w:numId="43">
    <w:abstractNumId w:val="52"/>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22"/>
  </w:num>
  <w:num w:numId="52">
    <w:abstractNumId w:val="41"/>
  </w:num>
  <w:num w:numId="53">
    <w:abstractNumId w:val="53"/>
  </w:num>
  <w:num w:numId="54">
    <w:abstractNumId w:val="45"/>
  </w:num>
  <w:num w:numId="55">
    <w:abstractNumId w:val="5"/>
  </w:num>
  <w:num w:numId="56">
    <w:abstractNumId w:val="43"/>
  </w:num>
  <w:num w:numId="57">
    <w:abstractNumId w:val="62"/>
  </w:num>
  <w:num w:numId="58">
    <w:abstractNumId w:val="21"/>
  </w:num>
  <w:num w:numId="59">
    <w:abstractNumId w:val="3"/>
  </w:num>
  <w:num w:numId="60">
    <w:abstractNumId w:val="49"/>
  </w:num>
  <w:num w:numId="61">
    <w:abstractNumId w:val="46"/>
  </w:num>
  <w:num w:numId="62">
    <w:abstractNumId w:val="47"/>
  </w:num>
  <w:num w:numId="63">
    <w:abstractNumId w:val="54"/>
  </w:num>
  <w:num w:numId="64">
    <w:abstractNumId w:val="7"/>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5B1"/>
    <w:rsid w:val="000065D0"/>
    <w:rsid w:val="00006B74"/>
    <w:rsid w:val="00006E1F"/>
    <w:rsid w:val="000070D7"/>
    <w:rsid w:val="000104F5"/>
    <w:rsid w:val="00015701"/>
    <w:rsid w:val="000177F4"/>
    <w:rsid w:val="0001788C"/>
    <w:rsid w:val="0002186F"/>
    <w:rsid w:val="000337EF"/>
    <w:rsid w:val="00040C3A"/>
    <w:rsid w:val="000419AD"/>
    <w:rsid w:val="000716C5"/>
    <w:rsid w:val="00075E23"/>
    <w:rsid w:val="000762C5"/>
    <w:rsid w:val="00081EEE"/>
    <w:rsid w:val="00084C4A"/>
    <w:rsid w:val="0009006E"/>
    <w:rsid w:val="0009344A"/>
    <w:rsid w:val="000A19F8"/>
    <w:rsid w:val="000A3254"/>
    <w:rsid w:val="000A392E"/>
    <w:rsid w:val="000A575F"/>
    <w:rsid w:val="000A63D0"/>
    <w:rsid w:val="000B0579"/>
    <w:rsid w:val="000C1C69"/>
    <w:rsid w:val="000C3A31"/>
    <w:rsid w:val="000D10DB"/>
    <w:rsid w:val="000E2789"/>
    <w:rsid w:val="000E5EB5"/>
    <w:rsid w:val="000F35ED"/>
    <w:rsid w:val="00107131"/>
    <w:rsid w:val="0010736F"/>
    <w:rsid w:val="00111A8A"/>
    <w:rsid w:val="00113F73"/>
    <w:rsid w:val="00121CC2"/>
    <w:rsid w:val="00122C57"/>
    <w:rsid w:val="00131D8B"/>
    <w:rsid w:val="00133EE5"/>
    <w:rsid w:val="00136E3D"/>
    <w:rsid w:val="00143EFE"/>
    <w:rsid w:val="001479C0"/>
    <w:rsid w:val="0015330B"/>
    <w:rsid w:val="00167A34"/>
    <w:rsid w:val="00174B27"/>
    <w:rsid w:val="00176BB3"/>
    <w:rsid w:val="00177EEF"/>
    <w:rsid w:val="00190B4C"/>
    <w:rsid w:val="00194BAA"/>
    <w:rsid w:val="00196EA4"/>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44C5A"/>
    <w:rsid w:val="00246D1F"/>
    <w:rsid w:val="00247403"/>
    <w:rsid w:val="00247542"/>
    <w:rsid w:val="00266B61"/>
    <w:rsid w:val="0026712A"/>
    <w:rsid w:val="002677BD"/>
    <w:rsid w:val="002704DB"/>
    <w:rsid w:val="002735BD"/>
    <w:rsid w:val="00277BDA"/>
    <w:rsid w:val="0029575A"/>
    <w:rsid w:val="002A0AAE"/>
    <w:rsid w:val="002A5820"/>
    <w:rsid w:val="002C3350"/>
    <w:rsid w:val="002D2B26"/>
    <w:rsid w:val="002D7EA2"/>
    <w:rsid w:val="002E187C"/>
    <w:rsid w:val="002E7512"/>
    <w:rsid w:val="002F3724"/>
    <w:rsid w:val="00300990"/>
    <w:rsid w:val="00302733"/>
    <w:rsid w:val="003121D5"/>
    <w:rsid w:val="00314078"/>
    <w:rsid w:val="0031535D"/>
    <w:rsid w:val="00316E97"/>
    <w:rsid w:val="003239B8"/>
    <w:rsid w:val="00325100"/>
    <w:rsid w:val="0033169F"/>
    <w:rsid w:val="003334AC"/>
    <w:rsid w:val="0034224A"/>
    <w:rsid w:val="00343438"/>
    <w:rsid w:val="0034369E"/>
    <w:rsid w:val="00344977"/>
    <w:rsid w:val="003457EF"/>
    <w:rsid w:val="00346C95"/>
    <w:rsid w:val="00351155"/>
    <w:rsid w:val="00354149"/>
    <w:rsid w:val="00356185"/>
    <w:rsid w:val="00360380"/>
    <w:rsid w:val="00373E79"/>
    <w:rsid w:val="0037519E"/>
    <w:rsid w:val="00381264"/>
    <w:rsid w:val="00386C6C"/>
    <w:rsid w:val="00386CF0"/>
    <w:rsid w:val="003942EC"/>
    <w:rsid w:val="003A6337"/>
    <w:rsid w:val="003B4FF6"/>
    <w:rsid w:val="003B70FB"/>
    <w:rsid w:val="003C6112"/>
    <w:rsid w:val="003C676B"/>
    <w:rsid w:val="003D0A55"/>
    <w:rsid w:val="003D3BC2"/>
    <w:rsid w:val="003E614F"/>
    <w:rsid w:val="003E6CA1"/>
    <w:rsid w:val="00400F0E"/>
    <w:rsid w:val="004065A8"/>
    <w:rsid w:val="004153F5"/>
    <w:rsid w:val="004165C2"/>
    <w:rsid w:val="004205A7"/>
    <w:rsid w:val="004304AD"/>
    <w:rsid w:val="0043324F"/>
    <w:rsid w:val="00441ECB"/>
    <w:rsid w:val="00445193"/>
    <w:rsid w:val="00447CCF"/>
    <w:rsid w:val="004565BA"/>
    <w:rsid w:val="00462C1B"/>
    <w:rsid w:val="00467B7E"/>
    <w:rsid w:val="0047080D"/>
    <w:rsid w:val="00472E8C"/>
    <w:rsid w:val="00473BB4"/>
    <w:rsid w:val="00475136"/>
    <w:rsid w:val="00476211"/>
    <w:rsid w:val="00477592"/>
    <w:rsid w:val="00486F1C"/>
    <w:rsid w:val="00491FA4"/>
    <w:rsid w:val="0049419D"/>
    <w:rsid w:val="004942BB"/>
    <w:rsid w:val="004A59CC"/>
    <w:rsid w:val="004A6A54"/>
    <w:rsid w:val="004B0986"/>
    <w:rsid w:val="004C20D2"/>
    <w:rsid w:val="004C2312"/>
    <w:rsid w:val="004C4B62"/>
    <w:rsid w:val="004C54C9"/>
    <w:rsid w:val="004C616A"/>
    <w:rsid w:val="004D4ABA"/>
    <w:rsid w:val="004D6025"/>
    <w:rsid w:val="004E19B1"/>
    <w:rsid w:val="004E2649"/>
    <w:rsid w:val="004E7652"/>
    <w:rsid w:val="00501399"/>
    <w:rsid w:val="00501652"/>
    <w:rsid w:val="0050633D"/>
    <w:rsid w:val="00507BC4"/>
    <w:rsid w:val="005128E4"/>
    <w:rsid w:val="005133DB"/>
    <w:rsid w:val="005214D4"/>
    <w:rsid w:val="00525560"/>
    <w:rsid w:val="00527C2D"/>
    <w:rsid w:val="00535D1C"/>
    <w:rsid w:val="005415E6"/>
    <w:rsid w:val="00544216"/>
    <w:rsid w:val="00544C49"/>
    <w:rsid w:val="005516A1"/>
    <w:rsid w:val="00563557"/>
    <w:rsid w:val="00573392"/>
    <w:rsid w:val="0057402A"/>
    <w:rsid w:val="00574CB7"/>
    <w:rsid w:val="005771D0"/>
    <w:rsid w:val="0059191A"/>
    <w:rsid w:val="005921FF"/>
    <w:rsid w:val="00594707"/>
    <w:rsid w:val="00594D0C"/>
    <w:rsid w:val="005A24ED"/>
    <w:rsid w:val="005A5F95"/>
    <w:rsid w:val="005A6D0E"/>
    <w:rsid w:val="005B37CC"/>
    <w:rsid w:val="005B52B0"/>
    <w:rsid w:val="005B6806"/>
    <w:rsid w:val="005B6D22"/>
    <w:rsid w:val="005C261A"/>
    <w:rsid w:val="005C4225"/>
    <w:rsid w:val="005C63EA"/>
    <w:rsid w:val="005C7989"/>
    <w:rsid w:val="005D66AD"/>
    <w:rsid w:val="005D7133"/>
    <w:rsid w:val="005E0B65"/>
    <w:rsid w:val="005E11B2"/>
    <w:rsid w:val="005F0222"/>
    <w:rsid w:val="005F0DAD"/>
    <w:rsid w:val="005F0F33"/>
    <w:rsid w:val="00600DEB"/>
    <w:rsid w:val="00605BF3"/>
    <w:rsid w:val="0060644C"/>
    <w:rsid w:val="006068B7"/>
    <w:rsid w:val="006277DE"/>
    <w:rsid w:val="00627C9F"/>
    <w:rsid w:val="006311E9"/>
    <w:rsid w:val="00632354"/>
    <w:rsid w:val="00642810"/>
    <w:rsid w:val="00647756"/>
    <w:rsid w:val="006509DA"/>
    <w:rsid w:val="00652333"/>
    <w:rsid w:val="006775AB"/>
    <w:rsid w:val="0068009E"/>
    <w:rsid w:val="006819E9"/>
    <w:rsid w:val="00681B44"/>
    <w:rsid w:val="00682638"/>
    <w:rsid w:val="00685AD8"/>
    <w:rsid w:val="006861C2"/>
    <w:rsid w:val="00686471"/>
    <w:rsid w:val="0068794B"/>
    <w:rsid w:val="00691BBE"/>
    <w:rsid w:val="00692219"/>
    <w:rsid w:val="0069402E"/>
    <w:rsid w:val="006A17D2"/>
    <w:rsid w:val="006A73E6"/>
    <w:rsid w:val="006B1D57"/>
    <w:rsid w:val="006B2D5C"/>
    <w:rsid w:val="006B2EE8"/>
    <w:rsid w:val="006B4DE5"/>
    <w:rsid w:val="006C4EB1"/>
    <w:rsid w:val="006D626A"/>
    <w:rsid w:val="006E0166"/>
    <w:rsid w:val="006E772A"/>
    <w:rsid w:val="006E7B34"/>
    <w:rsid w:val="00704DE3"/>
    <w:rsid w:val="0070697F"/>
    <w:rsid w:val="00721932"/>
    <w:rsid w:val="0072199C"/>
    <w:rsid w:val="00722C9F"/>
    <w:rsid w:val="007253B8"/>
    <w:rsid w:val="00725808"/>
    <w:rsid w:val="00727B0E"/>
    <w:rsid w:val="0073598C"/>
    <w:rsid w:val="0073741F"/>
    <w:rsid w:val="0076643F"/>
    <w:rsid w:val="00777F63"/>
    <w:rsid w:val="00782058"/>
    <w:rsid w:val="0078434C"/>
    <w:rsid w:val="007852B5"/>
    <w:rsid w:val="00790AAC"/>
    <w:rsid w:val="00796A37"/>
    <w:rsid w:val="007A0667"/>
    <w:rsid w:val="007A5817"/>
    <w:rsid w:val="007B05C4"/>
    <w:rsid w:val="007B60E9"/>
    <w:rsid w:val="007B6CC3"/>
    <w:rsid w:val="007C0D5B"/>
    <w:rsid w:val="007C3334"/>
    <w:rsid w:val="007C402A"/>
    <w:rsid w:val="007D07FE"/>
    <w:rsid w:val="007D2B98"/>
    <w:rsid w:val="007D349F"/>
    <w:rsid w:val="007D390C"/>
    <w:rsid w:val="007D7C02"/>
    <w:rsid w:val="007E21BC"/>
    <w:rsid w:val="007E58FE"/>
    <w:rsid w:val="007E7C82"/>
    <w:rsid w:val="007F4EF5"/>
    <w:rsid w:val="007F588D"/>
    <w:rsid w:val="00802748"/>
    <w:rsid w:val="00803F1C"/>
    <w:rsid w:val="0080600E"/>
    <w:rsid w:val="00806E92"/>
    <w:rsid w:val="00817612"/>
    <w:rsid w:val="00830289"/>
    <w:rsid w:val="00830487"/>
    <w:rsid w:val="008338A4"/>
    <w:rsid w:val="00833A9B"/>
    <w:rsid w:val="00834D49"/>
    <w:rsid w:val="00837C45"/>
    <w:rsid w:val="008411F0"/>
    <w:rsid w:val="008439BC"/>
    <w:rsid w:val="00844730"/>
    <w:rsid w:val="008457C2"/>
    <w:rsid w:val="00857A82"/>
    <w:rsid w:val="00871526"/>
    <w:rsid w:val="00873836"/>
    <w:rsid w:val="00875668"/>
    <w:rsid w:val="00885557"/>
    <w:rsid w:val="00885737"/>
    <w:rsid w:val="00890650"/>
    <w:rsid w:val="00897E12"/>
    <w:rsid w:val="008A0F81"/>
    <w:rsid w:val="008A310C"/>
    <w:rsid w:val="008A7E0F"/>
    <w:rsid w:val="008B12F5"/>
    <w:rsid w:val="008B5932"/>
    <w:rsid w:val="008C5751"/>
    <w:rsid w:val="008D0E36"/>
    <w:rsid w:val="008D768D"/>
    <w:rsid w:val="008E0FD8"/>
    <w:rsid w:val="008E328A"/>
    <w:rsid w:val="008E3759"/>
    <w:rsid w:val="008E3BFE"/>
    <w:rsid w:val="008E614D"/>
    <w:rsid w:val="008E7900"/>
    <w:rsid w:val="008F1912"/>
    <w:rsid w:val="0090270B"/>
    <w:rsid w:val="009041DC"/>
    <w:rsid w:val="00917B5A"/>
    <w:rsid w:val="00920A58"/>
    <w:rsid w:val="00920A8C"/>
    <w:rsid w:val="00934A2C"/>
    <w:rsid w:val="00935F06"/>
    <w:rsid w:val="00937B3A"/>
    <w:rsid w:val="009400BF"/>
    <w:rsid w:val="009434BF"/>
    <w:rsid w:val="009507C6"/>
    <w:rsid w:val="00954B82"/>
    <w:rsid w:val="0095670D"/>
    <w:rsid w:val="00957000"/>
    <w:rsid w:val="00962436"/>
    <w:rsid w:val="0096706E"/>
    <w:rsid w:val="00974491"/>
    <w:rsid w:val="00975C4E"/>
    <w:rsid w:val="00981FBA"/>
    <w:rsid w:val="00997BC5"/>
    <w:rsid w:val="009A4F41"/>
    <w:rsid w:val="009A5BC5"/>
    <w:rsid w:val="009B381B"/>
    <w:rsid w:val="009B4820"/>
    <w:rsid w:val="009C2FC5"/>
    <w:rsid w:val="009C4B65"/>
    <w:rsid w:val="009D1753"/>
    <w:rsid w:val="009D6502"/>
    <w:rsid w:val="009D7611"/>
    <w:rsid w:val="009D78A5"/>
    <w:rsid w:val="009E08DD"/>
    <w:rsid w:val="009E0B61"/>
    <w:rsid w:val="009E28CA"/>
    <w:rsid w:val="009E53DE"/>
    <w:rsid w:val="009E7C00"/>
    <w:rsid w:val="00A01D01"/>
    <w:rsid w:val="00A04BDF"/>
    <w:rsid w:val="00A0691C"/>
    <w:rsid w:val="00A11E44"/>
    <w:rsid w:val="00A154C8"/>
    <w:rsid w:val="00A22397"/>
    <w:rsid w:val="00A32313"/>
    <w:rsid w:val="00A328B3"/>
    <w:rsid w:val="00A47809"/>
    <w:rsid w:val="00A50FCF"/>
    <w:rsid w:val="00A528D1"/>
    <w:rsid w:val="00A610CD"/>
    <w:rsid w:val="00A625E0"/>
    <w:rsid w:val="00A7381D"/>
    <w:rsid w:val="00A74947"/>
    <w:rsid w:val="00A758AA"/>
    <w:rsid w:val="00A92093"/>
    <w:rsid w:val="00A9682D"/>
    <w:rsid w:val="00AA09A2"/>
    <w:rsid w:val="00AA365E"/>
    <w:rsid w:val="00AA7996"/>
    <w:rsid w:val="00AB23DF"/>
    <w:rsid w:val="00AC19CB"/>
    <w:rsid w:val="00AD1886"/>
    <w:rsid w:val="00AD2561"/>
    <w:rsid w:val="00AD6C14"/>
    <w:rsid w:val="00AE5488"/>
    <w:rsid w:val="00AE6F91"/>
    <w:rsid w:val="00AF2755"/>
    <w:rsid w:val="00AF51DC"/>
    <w:rsid w:val="00AF5571"/>
    <w:rsid w:val="00AF7CF7"/>
    <w:rsid w:val="00B01516"/>
    <w:rsid w:val="00B06B4E"/>
    <w:rsid w:val="00B07341"/>
    <w:rsid w:val="00B202B5"/>
    <w:rsid w:val="00B30539"/>
    <w:rsid w:val="00B314DB"/>
    <w:rsid w:val="00B3593C"/>
    <w:rsid w:val="00B361F2"/>
    <w:rsid w:val="00B3718B"/>
    <w:rsid w:val="00B460F4"/>
    <w:rsid w:val="00B4632A"/>
    <w:rsid w:val="00B5067D"/>
    <w:rsid w:val="00B530F1"/>
    <w:rsid w:val="00B57297"/>
    <w:rsid w:val="00B647BF"/>
    <w:rsid w:val="00B736AF"/>
    <w:rsid w:val="00B742BE"/>
    <w:rsid w:val="00B74A28"/>
    <w:rsid w:val="00B87359"/>
    <w:rsid w:val="00B97946"/>
    <w:rsid w:val="00BA129B"/>
    <w:rsid w:val="00BA276C"/>
    <w:rsid w:val="00BA5544"/>
    <w:rsid w:val="00BB306F"/>
    <w:rsid w:val="00BB3FBD"/>
    <w:rsid w:val="00BC6CD0"/>
    <w:rsid w:val="00BC6FD7"/>
    <w:rsid w:val="00BD4B89"/>
    <w:rsid w:val="00BD5922"/>
    <w:rsid w:val="00BD76D9"/>
    <w:rsid w:val="00BE1C4A"/>
    <w:rsid w:val="00BF02CB"/>
    <w:rsid w:val="00BF514A"/>
    <w:rsid w:val="00BF6FD8"/>
    <w:rsid w:val="00BF775D"/>
    <w:rsid w:val="00C01D3B"/>
    <w:rsid w:val="00C03680"/>
    <w:rsid w:val="00C054DF"/>
    <w:rsid w:val="00C10AFC"/>
    <w:rsid w:val="00C201D5"/>
    <w:rsid w:val="00C21562"/>
    <w:rsid w:val="00C21762"/>
    <w:rsid w:val="00C21FEF"/>
    <w:rsid w:val="00C24543"/>
    <w:rsid w:val="00C256A2"/>
    <w:rsid w:val="00C35A26"/>
    <w:rsid w:val="00C36E34"/>
    <w:rsid w:val="00C51515"/>
    <w:rsid w:val="00C53910"/>
    <w:rsid w:val="00C5660B"/>
    <w:rsid w:val="00C56854"/>
    <w:rsid w:val="00C5788A"/>
    <w:rsid w:val="00C605B8"/>
    <w:rsid w:val="00C66B72"/>
    <w:rsid w:val="00C724C1"/>
    <w:rsid w:val="00C83674"/>
    <w:rsid w:val="00C87AC4"/>
    <w:rsid w:val="00C9331A"/>
    <w:rsid w:val="00C9567A"/>
    <w:rsid w:val="00CA48A3"/>
    <w:rsid w:val="00CB212D"/>
    <w:rsid w:val="00CB2660"/>
    <w:rsid w:val="00CC0B0F"/>
    <w:rsid w:val="00CC5E90"/>
    <w:rsid w:val="00CD046C"/>
    <w:rsid w:val="00CD186A"/>
    <w:rsid w:val="00CE076C"/>
    <w:rsid w:val="00CE5199"/>
    <w:rsid w:val="00CE66D5"/>
    <w:rsid w:val="00CF637A"/>
    <w:rsid w:val="00D059DE"/>
    <w:rsid w:val="00D05ABD"/>
    <w:rsid w:val="00D10D7C"/>
    <w:rsid w:val="00D13FCE"/>
    <w:rsid w:val="00D17E8C"/>
    <w:rsid w:val="00D306D1"/>
    <w:rsid w:val="00D30800"/>
    <w:rsid w:val="00D319C0"/>
    <w:rsid w:val="00D34786"/>
    <w:rsid w:val="00D37BFC"/>
    <w:rsid w:val="00D42822"/>
    <w:rsid w:val="00D47A8E"/>
    <w:rsid w:val="00D52D14"/>
    <w:rsid w:val="00D55256"/>
    <w:rsid w:val="00D56D93"/>
    <w:rsid w:val="00D712D3"/>
    <w:rsid w:val="00D71422"/>
    <w:rsid w:val="00D71C47"/>
    <w:rsid w:val="00D72DC6"/>
    <w:rsid w:val="00D73F5E"/>
    <w:rsid w:val="00D7558D"/>
    <w:rsid w:val="00D77503"/>
    <w:rsid w:val="00D81D92"/>
    <w:rsid w:val="00D876F9"/>
    <w:rsid w:val="00D877B6"/>
    <w:rsid w:val="00D93A90"/>
    <w:rsid w:val="00D976AC"/>
    <w:rsid w:val="00DA7B5F"/>
    <w:rsid w:val="00DC11E7"/>
    <w:rsid w:val="00DC7023"/>
    <w:rsid w:val="00DC769A"/>
    <w:rsid w:val="00DD061E"/>
    <w:rsid w:val="00DD3D86"/>
    <w:rsid w:val="00DE12F0"/>
    <w:rsid w:val="00DF1EC4"/>
    <w:rsid w:val="00DF51E9"/>
    <w:rsid w:val="00E01943"/>
    <w:rsid w:val="00E01D86"/>
    <w:rsid w:val="00E0340B"/>
    <w:rsid w:val="00E04A90"/>
    <w:rsid w:val="00E0551F"/>
    <w:rsid w:val="00E068AE"/>
    <w:rsid w:val="00E2089C"/>
    <w:rsid w:val="00E219C7"/>
    <w:rsid w:val="00E25361"/>
    <w:rsid w:val="00E26CCA"/>
    <w:rsid w:val="00E26FB5"/>
    <w:rsid w:val="00E27F56"/>
    <w:rsid w:val="00E37758"/>
    <w:rsid w:val="00E4118C"/>
    <w:rsid w:val="00E43157"/>
    <w:rsid w:val="00E461CE"/>
    <w:rsid w:val="00E720CA"/>
    <w:rsid w:val="00E8084B"/>
    <w:rsid w:val="00E82214"/>
    <w:rsid w:val="00E84EB5"/>
    <w:rsid w:val="00E85662"/>
    <w:rsid w:val="00E8789F"/>
    <w:rsid w:val="00E92747"/>
    <w:rsid w:val="00E957B5"/>
    <w:rsid w:val="00E97B71"/>
    <w:rsid w:val="00EA3D34"/>
    <w:rsid w:val="00EB454D"/>
    <w:rsid w:val="00EC26E9"/>
    <w:rsid w:val="00EC3263"/>
    <w:rsid w:val="00EC72AB"/>
    <w:rsid w:val="00EC7A19"/>
    <w:rsid w:val="00ED2D41"/>
    <w:rsid w:val="00ED2F03"/>
    <w:rsid w:val="00ED549D"/>
    <w:rsid w:val="00ED76BE"/>
    <w:rsid w:val="00ED7F05"/>
    <w:rsid w:val="00EE00E9"/>
    <w:rsid w:val="00EE014D"/>
    <w:rsid w:val="00EF0FE3"/>
    <w:rsid w:val="00EF35AB"/>
    <w:rsid w:val="00EF4C44"/>
    <w:rsid w:val="00EF619B"/>
    <w:rsid w:val="00F00B55"/>
    <w:rsid w:val="00F02AD1"/>
    <w:rsid w:val="00F04591"/>
    <w:rsid w:val="00F06354"/>
    <w:rsid w:val="00F1512D"/>
    <w:rsid w:val="00F20591"/>
    <w:rsid w:val="00F253CC"/>
    <w:rsid w:val="00F332EF"/>
    <w:rsid w:val="00F37106"/>
    <w:rsid w:val="00F519CF"/>
    <w:rsid w:val="00F53168"/>
    <w:rsid w:val="00F56BA5"/>
    <w:rsid w:val="00F60E22"/>
    <w:rsid w:val="00F620B1"/>
    <w:rsid w:val="00F63B39"/>
    <w:rsid w:val="00F72BC6"/>
    <w:rsid w:val="00F81395"/>
    <w:rsid w:val="00F81887"/>
    <w:rsid w:val="00F81BB8"/>
    <w:rsid w:val="00F917D1"/>
    <w:rsid w:val="00F9342C"/>
    <w:rsid w:val="00F9653B"/>
    <w:rsid w:val="00FA262A"/>
    <w:rsid w:val="00FA56EA"/>
    <w:rsid w:val="00FB47E5"/>
    <w:rsid w:val="00FB62CF"/>
    <w:rsid w:val="00FC0F4A"/>
    <w:rsid w:val="00FC3330"/>
    <w:rsid w:val="00FC4C06"/>
    <w:rsid w:val="00FD3C3B"/>
    <w:rsid w:val="00FE0614"/>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A04BDF"/>
    <w:rPr>
      <w:b/>
      <w:bCs/>
    </w:rPr>
  </w:style>
  <w:style w:type="character" w:customStyle="1" w:styleId="apple-converted-space">
    <w:name w:val="apple-converted-space"/>
    <w:basedOn w:val="DefaultParagraphFont"/>
    <w:rsid w:val="00833A9B"/>
  </w:style>
  <w:style w:type="paragraph" w:styleId="NormalWeb">
    <w:name w:val="Normal (Web)"/>
    <w:basedOn w:val="Normal"/>
    <w:uiPriority w:val="99"/>
    <w:unhideWhenUsed/>
    <w:rsid w:val="00B35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885">
      <w:bodyDiv w:val="1"/>
      <w:marLeft w:val="0"/>
      <w:marRight w:val="0"/>
      <w:marTop w:val="0"/>
      <w:marBottom w:val="0"/>
      <w:divBdr>
        <w:top w:val="none" w:sz="0" w:space="0" w:color="auto"/>
        <w:left w:val="none" w:sz="0" w:space="0" w:color="auto"/>
        <w:bottom w:val="none" w:sz="0" w:space="0" w:color="auto"/>
        <w:right w:val="none" w:sz="0" w:space="0" w:color="auto"/>
      </w:divBdr>
    </w:div>
    <w:div w:id="115220290">
      <w:bodyDiv w:val="1"/>
      <w:marLeft w:val="0"/>
      <w:marRight w:val="0"/>
      <w:marTop w:val="0"/>
      <w:marBottom w:val="0"/>
      <w:divBdr>
        <w:top w:val="none" w:sz="0" w:space="0" w:color="auto"/>
        <w:left w:val="none" w:sz="0" w:space="0" w:color="auto"/>
        <w:bottom w:val="none" w:sz="0" w:space="0" w:color="auto"/>
        <w:right w:val="none" w:sz="0" w:space="0" w:color="auto"/>
      </w:divBdr>
    </w:div>
    <w:div w:id="46546902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18075134">
      <w:bodyDiv w:val="1"/>
      <w:marLeft w:val="0"/>
      <w:marRight w:val="0"/>
      <w:marTop w:val="0"/>
      <w:marBottom w:val="0"/>
      <w:divBdr>
        <w:top w:val="none" w:sz="0" w:space="0" w:color="auto"/>
        <w:left w:val="none" w:sz="0" w:space="0" w:color="auto"/>
        <w:bottom w:val="none" w:sz="0" w:space="0" w:color="auto"/>
        <w:right w:val="none" w:sz="0" w:space="0" w:color="auto"/>
      </w:divBdr>
    </w:div>
    <w:div w:id="1487552184">
      <w:bodyDiv w:val="1"/>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sChild>
            <w:div w:id="228270122">
              <w:marLeft w:val="0"/>
              <w:marRight w:val="0"/>
              <w:marTop w:val="0"/>
              <w:marBottom w:val="0"/>
              <w:divBdr>
                <w:top w:val="none" w:sz="0" w:space="0" w:color="auto"/>
                <w:left w:val="none" w:sz="0" w:space="0" w:color="auto"/>
                <w:bottom w:val="none" w:sz="0" w:space="0" w:color="auto"/>
                <w:right w:val="none" w:sz="0" w:space="0" w:color="auto"/>
              </w:divBdr>
              <w:divsChild>
                <w:div w:id="501506058">
                  <w:marLeft w:val="0"/>
                  <w:marRight w:val="0"/>
                  <w:marTop w:val="0"/>
                  <w:marBottom w:val="0"/>
                  <w:divBdr>
                    <w:top w:val="none" w:sz="0" w:space="0" w:color="auto"/>
                    <w:left w:val="none" w:sz="0" w:space="0" w:color="auto"/>
                    <w:bottom w:val="none" w:sz="0" w:space="0" w:color="auto"/>
                    <w:right w:val="none" w:sz="0" w:space="0" w:color="auto"/>
                  </w:divBdr>
                  <w:divsChild>
                    <w:div w:id="15493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5684">
      <w:bodyDiv w:val="1"/>
      <w:marLeft w:val="0"/>
      <w:marRight w:val="0"/>
      <w:marTop w:val="0"/>
      <w:marBottom w:val="0"/>
      <w:divBdr>
        <w:top w:val="none" w:sz="0" w:space="0" w:color="auto"/>
        <w:left w:val="none" w:sz="0" w:space="0" w:color="auto"/>
        <w:bottom w:val="none" w:sz="0" w:space="0" w:color="auto"/>
        <w:right w:val="none" w:sz="0" w:space="0" w:color="auto"/>
      </w:divBdr>
      <w:divsChild>
        <w:div w:id="206647809">
          <w:marLeft w:val="0"/>
          <w:marRight w:val="0"/>
          <w:marTop w:val="0"/>
          <w:marBottom w:val="0"/>
          <w:divBdr>
            <w:top w:val="none" w:sz="0" w:space="0" w:color="auto"/>
            <w:left w:val="none" w:sz="0" w:space="0" w:color="auto"/>
            <w:bottom w:val="none" w:sz="0" w:space="0" w:color="auto"/>
            <w:right w:val="none" w:sz="0" w:space="0" w:color="auto"/>
          </w:divBdr>
          <w:divsChild>
            <w:div w:id="1800032232">
              <w:marLeft w:val="0"/>
              <w:marRight w:val="0"/>
              <w:marTop w:val="0"/>
              <w:marBottom w:val="0"/>
              <w:divBdr>
                <w:top w:val="none" w:sz="0" w:space="0" w:color="auto"/>
                <w:left w:val="none" w:sz="0" w:space="0" w:color="auto"/>
                <w:bottom w:val="none" w:sz="0" w:space="0" w:color="auto"/>
                <w:right w:val="none" w:sz="0" w:space="0" w:color="auto"/>
              </w:divBdr>
              <w:divsChild>
                <w:div w:id="114062857">
                  <w:marLeft w:val="0"/>
                  <w:marRight w:val="0"/>
                  <w:marTop w:val="0"/>
                  <w:marBottom w:val="0"/>
                  <w:divBdr>
                    <w:top w:val="none" w:sz="0" w:space="0" w:color="auto"/>
                    <w:left w:val="none" w:sz="0" w:space="0" w:color="auto"/>
                    <w:bottom w:val="none" w:sz="0" w:space="0" w:color="auto"/>
                    <w:right w:val="none" w:sz="0" w:space="0" w:color="auto"/>
                  </w:divBdr>
                  <w:divsChild>
                    <w:div w:id="17274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59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42102818">
      <w:bodyDiv w:val="1"/>
      <w:marLeft w:val="0"/>
      <w:marRight w:val="0"/>
      <w:marTop w:val="0"/>
      <w:marBottom w:val="0"/>
      <w:divBdr>
        <w:top w:val="none" w:sz="0" w:space="0" w:color="auto"/>
        <w:left w:val="none" w:sz="0" w:space="0" w:color="auto"/>
        <w:bottom w:val="none" w:sz="0" w:space="0" w:color="auto"/>
        <w:right w:val="none" w:sz="0" w:space="0" w:color="auto"/>
      </w:divBdr>
      <w:divsChild>
        <w:div w:id="1462109497">
          <w:marLeft w:val="0"/>
          <w:marRight w:val="0"/>
          <w:marTop w:val="0"/>
          <w:marBottom w:val="0"/>
          <w:divBdr>
            <w:top w:val="none" w:sz="0" w:space="0" w:color="auto"/>
            <w:left w:val="none" w:sz="0" w:space="0" w:color="auto"/>
            <w:bottom w:val="none" w:sz="0" w:space="0" w:color="auto"/>
            <w:right w:val="none" w:sz="0" w:space="0" w:color="auto"/>
          </w:divBdr>
          <w:divsChild>
            <w:div w:id="671492131">
              <w:marLeft w:val="0"/>
              <w:marRight w:val="0"/>
              <w:marTop w:val="0"/>
              <w:marBottom w:val="0"/>
              <w:divBdr>
                <w:top w:val="none" w:sz="0" w:space="0" w:color="auto"/>
                <w:left w:val="none" w:sz="0" w:space="0" w:color="auto"/>
                <w:bottom w:val="none" w:sz="0" w:space="0" w:color="auto"/>
                <w:right w:val="none" w:sz="0" w:space="0" w:color="auto"/>
              </w:divBdr>
              <w:divsChild>
                <w:div w:id="1166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63AC-EE29-4D07-8122-981AB07F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9665</Characters>
  <Application>Microsoft Office Word</Application>
  <DocSecurity>0</DocSecurity>
  <Lines>166</Lines>
  <Paragraphs>45</Paragraphs>
  <ScaleCrop>false</ScaleCrop>
  <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56/21</dc:title>
  <dc:creator/>
  <cp:lastModifiedBy/>
  <cp:revision>1</cp:revision>
  <dcterms:created xsi:type="dcterms:W3CDTF">2021-04-19T17:04:00Z</dcterms:created>
  <dcterms:modified xsi:type="dcterms:W3CDTF">2021-04-19T17:04:00Z</dcterms:modified>
</cp:coreProperties>
</file>